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C33368" w14:textId="77777777" w:rsidR="001A6C39" w:rsidRDefault="00065190">
      <w:pPr>
        <w:pStyle w:val="Title"/>
        <w:contextualSpacing w:val="0"/>
      </w:pPr>
      <w:bookmarkStart w:id="0" w:name="h.7z6cl5zdd6ai" w:colFirst="0" w:colLast="0"/>
      <w:bookmarkEnd w:id="0"/>
      <w:r>
        <w:t>RDA Urban Quality of Life Indicators (</w:t>
      </w:r>
      <w:proofErr w:type="spellStart"/>
      <w:r>
        <w:t>UQoL</w:t>
      </w:r>
      <w:proofErr w:type="spellEnd"/>
      <w:r>
        <w:t xml:space="preserve">): Proposal for work on the </w:t>
      </w:r>
      <w:proofErr w:type="spellStart"/>
      <w:r>
        <w:t>UQoL</w:t>
      </w:r>
      <w:proofErr w:type="spellEnd"/>
      <w:r>
        <w:t xml:space="preserve"> Data Dictionary</w:t>
      </w:r>
    </w:p>
    <w:p w14:paraId="5897F2A6" w14:textId="77777777" w:rsidR="001A6C39" w:rsidRDefault="00065190">
      <w:pPr>
        <w:pStyle w:val="Heading1"/>
        <w:contextualSpacing w:val="0"/>
      </w:pPr>
      <w:bookmarkStart w:id="1" w:name="h.ienix0tq2vtk" w:colFirst="0" w:colLast="0"/>
      <w:bookmarkEnd w:id="1"/>
      <w:r>
        <w:t>Background</w:t>
      </w:r>
    </w:p>
    <w:p w14:paraId="68C4659E" w14:textId="152BB3A6" w:rsidR="00D917E1" w:rsidRDefault="00D917E1">
      <w:pPr>
        <w:pStyle w:val="normal0"/>
      </w:pPr>
      <w:r>
        <w:t>The JRC is the technical coordinator of the INSPIRE Directive, which is the lega</w:t>
      </w:r>
      <w:r w:rsidR="00FF1CE1">
        <w:t xml:space="preserve">l framework in Europe (adopted </w:t>
      </w:r>
      <w:r>
        <w:t xml:space="preserve">and being implemented across all 28 EU countries) establishing an infrastructure for spatial information in Europe. The purpose of INSPIRE is to make the data necessary to support environmental policies, or policies that affect the environment, discoverable, accessible, shareable, and interoperable. INSPIRE covers 34 data themes, many of which will be relevant also to UQOL. They are organised in three groups or annexes: </w:t>
      </w:r>
    </w:p>
    <w:p w14:paraId="67367B57" w14:textId="77777777" w:rsidR="00D917E1" w:rsidRPr="0055617D" w:rsidRDefault="00D917E1" w:rsidP="00D917E1">
      <w:pPr>
        <w:jc w:val="both"/>
        <w:rPr>
          <w:rFonts w:asciiTheme="minorHAnsi" w:hAnsiTheme="minorHAnsi"/>
          <w:szCs w:val="22"/>
        </w:rPr>
      </w:pPr>
    </w:p>
    <w:p w14:paraId="30269D29" w14:textId="64F2E7D6" w:rsidR="00D917E1" w:rsidRPr="0055617D" w:rsidRDefault="00D917E1" w:rsidP="00D917E1">
      <w:pPr>
        <w:rPr>
          <w:rFonts w:asciiTheme="minorHAnsi" w:hAnsiTheme="minorHAnsi"/>
          <w:b/>
          <w:szCs w:val="22"/>
        </w:rPr>
      </w:pPr>
      <w:r w:rsidRPr="0055617D">
        <w:rPr>
          <w:rFonts w:asciiTheme="minorHAnsi" w:hAnsiTheme="minorHAnsi"/>
          <w:b/>
          <w:szCs w:val="22"/>
        </w:rPr>
        <w:t>Key data themes addressed by INSPIRE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670"/>
      </w:tblGrid>
      <w:tr w:rsidR="00D917E1" w:rsidRPr="0055617D" w14:paraId="480D3D31" w14:textId="77777777" w:rsidTr="00D917E1">
        <w:tc>
          <w:tcPr>
            <w:tcW w:w="4572" w:type="dxa"/>
            <w:shd w:val="clear" w:color="auto" w:fill="auto"/>
          </w:tcPr>
          <w:p w14:paraId="349ED8BF" w14:textId="77777777" w:rsidR="00D917E1" w:rsidRPr="0055617D" w:rsidRDefault="00D917E1" w:rsidP="00D917E1">
            <w:pPr>
              <w:rPr>
                <w:rFonts w:asciiTheme="minorHAnsi" w:hAnsiTheme="minorHAnsi"/>
                <w:b/>
                <w:szCs w:val="22"/>
              </w:rPr>
            </w:pPr>
          </w:p>
          <w:p w14:paraId="4CEDF4D2" w14:textId="77777777" w:rsidR="00D917E1" w:rsidRPr="0055617D" w:rsidRDefault="00D917E1" w:rsidP="00D917E1">
            <w:pPr>
              <w:rPr>
                <w:rFonts w:asciiTheme="minorHAnsi" w:hAnsiTheme="minorHAnsi"/>
                <w:b/>
                <w:szCs w:val="22"/>
              </w:rPr>
            </w:pPr>
            <w:r w:rsidRPr="0055617D">
              <w:rPr>
                <w:rFonts w:asciiTheme="minorHAnsi" w:hAnsiTheme="minorHAnsi"/>
                <w:b/>
                <w:szCs w:val="22"/>
              </w:rPr>
              <w:t>Annex I</w:t>
            </w:r>
          </w:p>
          <w:p w14:paraId="5FD60988" w14:textId="77777777" w:rsidR="00D917E1" w:rsidRPr="0055617D" w:rsidRDefault="00D917E1" w:rsidP="00D917E1">
            <w:pPr>
              <w:rPr>
                <w:rFonts w:asciiTheme="minorHAnsi" w:hAnsiTheme="minorHAnsi"/>
                <w:szCs w:val="22"/>
              </w:rPr>
            </w:pPr>
            <w:r w:rsidRPr="0055617D">
              <w:rPr>
                <w:rFonts w:asciiTheme="minorHAnsi" w:hAnsiTheme="minorHAnsi"/>
                <w:szCs w:val="22"/>
              </w:rPr>
              <w:t>Coordinate reference systems</w:t>
            </w:r>
          </w:p>
          <w:p w14:paraId="3138A02A" w14:textId="77777777" w:rsidR="00D917E1" w:rsidRPr="0055617D" w:rsidRDefault="00D917E1" w:rsidP="00D917E1">
            <w:pPr>
              <w:rPr>
                <w:rFonts w:asciiTheme="minorHAnsi" w:hAnsiTheme="minorHAnsi"/>
                <w:szCs w:val="22"/>
              </w:rPr>
            </w:pPr>
            <w:r w:rsidRPr="0055617D">
              <w:rPr>
                <w:rFonts w:asciiTheme="minorHAnsi" w:hAnsiTheme="minorHAnsi"/>
                <w:szCs w:val="22"/>
              </w:rPr>
              <w:t>Geographical grid systems</w:t>
            </w:r>
          </w:p>
          <w:p w14:paraId="64654B77" w14:textId="77777777" w:rsidR="00D917E1" w:rsidRPr="0055617D" w:rsidRDefault="00D917E1" w:rsidP="00D917E1">
            <w:pPr>
              <w:rPr>
                <w:rFonts w:asciiTheme="minorHAnsi" w:hAnsiTheme="minorHAnsi"/>
                <w:szCs w:val="22"/>
              </w:rPr>
            </w:pPr>
            <w:r w:rsidRPr="0055617D">
              <w:rPr>
                <w:rFonts w:asciiTheme="minorHAnsi" w:hAnsiTheme="minorHAnsi"/>
                <w:szCs w:val="22"/>
              </w:rPr>
              <w:t>Geographical names</w:t>
            </w:r>
          </w:p>
          <w:p w14:paraId="1D0CF6C3" w14:textId="77777777" w:rsidR="00D917E1" w:rsidRPr="0055617D" w:rsidRDefault="00D917E1" w:rsidP="00D917E1">
            <w:pPr>
              <w:rPr>
                <w:rFonts w:asciiTheme="minorHAnsi" w:hAnsiTheme="minorHAnsi"/>
                <w:szCs w:val="22"/>
              </w:rPr>
            </w:pPr>
            <w:r w:rsidRPr="0055617D">
              <w:rPr>
                <w:rFonts w:asciiTheme="minorHAnsi" w:hAnsiTheme="minorHAnsi"/>
                <w:szCs w:val="22"/>
              </w:rPr>
              <w:t>Administrative units</w:t>
            </w:r>
          </w:p>
          <w:p w14:paraId="15636B36" w14:textId="77777777" w:rsidR="00D917E1" w:rsidRPr="0055617D" w:rsidRDefault="00D917E1" w:rsidP="00D917E1">
            <w:pPr>
              <w:rPr>
                <w:rFonts w:asciiTheme="minorHAnsi" w:hAnsiTheme="minorHAnsi"/>
                <w:szCs w:val="22"/>
              </w:rPr>
            </w:pPr>
            <w:r w:rsidRPr="0055617D">
              <w:rPr>
                <w:rFonts w:asciiTheme="minorHAnsi" w:hAnsiTheme="minorHAnsi"/>
                <w:szCs w:val="22"/>
              </w:rPr>
              <w:t>Addresses</w:t>
            </w:r>
          </w:p>
          <w:p w14:paraId="2214BE53" w14:textId="77777777" w:rsidR="00D917E1" w:rsidRPr="0055617D" w:rsidRDefault="00D917E1" w:rsidP="00D917E1">
            <w:pPr>
              <w:rPr>
                <w:rFonts w:asciiTheme="minorHAnsi" w:hAnsiTheme="minorHAnsi"/>
                <w:szCs w:val="22"/>
              </w:rPr>
            </w:pPr>
            <w:r w:rsidRPr="0055617D">
              <w:rPr>
                <w:rFonts w:asciiTheme="minorHAnsi" w:hAnsiTheme="minorHAnsi"/>
                <w:szCs w:val="22"/>
              </w:rPr>
              <w:t>Cadastral parcels</w:t>
            </w:r>
          </w:p>
          <w:p w14:paraId="10D6497A" w14:textId="77777777" w:rsidR="00D917E1" w:rsidRPr="0055617D" w:rsidRDefault="00D917E1" w:rsidP="00D917E1">
            <w:pPr>
              <w:rPr>
                <w:rFonts w:asciiTheme="minorHAnsi" w:hAnsiTheme="minorHAnsi"/>
                <w:szCs w:val="22"/>
              </w:rPr>
            </w:pPr>
            <w:r w:rsidRPr="0055617D">
              <w:rPr>
                <w:rFonts w:asciiTheme="minorHAnsi" w:hAnsiTheme="minorHAnsi"/>
                <w:szCs w:val="22"/>
              </w:rPr>
              <w:t>Transport networks</w:t>
            </w:r>
          </w:p>
          <w:p w14:paraId="07CD8033" w14:textId="77777777" w:rsidR="00D917E1" w:rsidRPr="0055617D" w:rsidRDefault="00D917E1" w:rsidP="00D917E1">
            <w:pPr>
              <w:rPr>
                <w:rFonts w:asciiTheme="minorHAnsi" w:hAnsiTheme="minorHAnsi"/>
                <w:szCs w:val="22"/>
              </w:rPr>
            </w:pPr>
            <w:r w:rsidRPr="0055617D">
              <w:rPr>
                <w:rFonts w:asciiTheme="minorHAnsi" w:hAnsiTheme="minorHAnsi"/>
                <w:szCs w:val="22"/>
              </w:rPr>
              <w:t>Hydrography</w:t>
            </w:r>
          </w:p>
          <w:p w14:paraId="71BBE4D0" w14:textId="77777777" w:rsidR="00D917E1" w:rsidRPr="0055617D" w:rsidRDefault="00D917E1" w:rsidP="00D917E1">
            <w:pPr>
              <w:rPr>
                <w:rFonts w:asciiTheme="minorHAnsi" w:hAnsiTheme="minorHAnsi"/>
                <w:szCs w:val="22"/>
              </w:rPr>
            </w:pPr>
            <w:r w:rsidRPr="0055617D">
              <w:rPr>
                <w:rFonts w:asciiTheme="minorHAnsi" w:hAnsiTheme="minorHAnsi"/>
                <w:szCs w:val="22"/>
              </w:rPr>
              <w:t>Protected sites</w:t>
            </w:r>
          </w:p>
          <w:p w14:paraId="5045F9EB" w14:textId="77777777" w:rsidR="00D917E1" w:rsidRPr="0055617D" w:rsidRDefault="00D917E1" w:rsidP="00D917E1">
            <w:pPr>
              <w:rPr>
                <w:rFonts w:asciiTheme="minorHAnsi" w:hAnsiTheme="minorHAnsi"/>
                <w:szCs w:val="22"/>
              </w:rPr>
            </w:pPr>
          </w:p>
          <w:p w14:paraId="27919E0A" w14:textId="77777777" w:rsidR="00D917E1" w:rsidRPr="0055617D" w:rsidRDefault="00D917E1" w:rsidP="00D917E1">
            <w:pPr>
              <w:rPr>
                <w:rFonts w:asciiTheme="minorHAnsi" w:hAnsiTheme="minorHAnsi"/>
                <w:b/>
                <w:bCs/>
                <w:szCs w:val="22"/>
                <w:lang w:val="en-US"/>
              </w:rPr>
            </w:pPr>
            <w:r w:rsidRPr="0055617D">
              <w:rPr>
                <w:rFonts w:asciiTheme="minorHAnsi" w:hAnsiTheme="minorHAnsi"/>
                <w:b/>
                <w:bCs/>
                <w:szCs w:val="22"/>
                <w:lang w:val="en-US"/>
              </w:rPr>
              <w:t>Annex II</w:t>
            </w:r>
          </w:p>
          <w:p w14:paraId="1868AE2B"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Elevation</w:t>
            </w:r>
          </w:p>
          <w:p w14:paraId="02EE5482"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Land cover</w:t>
            </w:r>
          </w:p>
          <w:p w14:paraId="0C2CAB23"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Ortho-imagery</w:t>
            </w:r>
          </w:p>
          <w:p w14:paraId="28AE2221"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Geology</w:t>
            </w:r>
          </w:p>
          <w:p w14:paraId="3B60103D" w14:textId="77777777" w:rsidR="00D917E1" w:rsidRPr="0055617D" w:rsidRDefault="00D917E1" w:rsidP="00D917E1">
            <w:pPr>
              <w:rPr>
                <w:rFonts w:asciiTheme="minorHAnsi" w:hAnsiTheme="minorHAnsi"/>
                <w:szCs w:val="22"/>
              </w:rPr>
            </w:pPr>
          </w:p>
        </w:tc>
        <w:tc>
          <w:tcPr>
            <w:tcW w:w="4670" w:type="dxa"/>
            <w:shd w:val="clear" w:color="auto" w:fill="auto"/>
          </w:tcPr>
          <w:p w14:paraId="6F5BD0F5" w14:textId="77777777" w:rsidR="00D917E1" w:rsidRPr="0055617D" w:rsidRDefault="00D917E1" w:rsidP="00D917E1">
            <w:pPr>
              <w:rPr>
                <w:rFonts w:asciiTheme="minorHAnsi" w:hAnsiTheme="minorHAnsi"/>
                <w:b/>
                <w:bCs/>
                <w:szCs w:val="22"/>
                <w:lang w:val="en-US"/>
              </w:rPr>
            </w:pPr>
          </w:p>
          <w:p w14:paraId="306C329A" w14:textId="77777777" w:rsidR="00D917E1" w:rsidRPr="0055617D" w:rsidRDefault="00D917E1" w:rsidP="00D917E1">
            <w:pPr>
              <w:rPr>
                <w:rFonts w:asciiTheme="minorHAnsi" w:hAnsiTheme="minorHAnsi"/>
                <w:b/>
                <w:bCs/>
                <w:szCs w:val="22"/>
                <w:lang w:val="en-US"/>
              </w:rPr>
            </w:pPr>
            <w:r w:rsidRPr="0055617D">
              <w:rPr>
                <w:rFonts w:asciiTheme="minorHAnsi" w:hAnsiTheme="minorHAnsi"/>
                <w:b/>
                <w:bCs/>
                <w:szCs w:val="22"/>
                <w:lang w:val="en-US"/>
              </w:rPr>
              <w:t>Annex III</w:t>
            </w:r>
          </w:p>
          <w:p w14:paraId="41DE117E"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Statistical units</w:t>
            </w:r>
          </w:p>
          <w:p w14:paraId="7F51D68D"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Buildings</w:t>
            </w:r>
          </w:p>
          <w:p w14:paraId="01A0DFE1"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Soil</w:t>
            </w:r>
          </w:p>
          <w:p w14:paraId="13B96992"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Land use</w:t>
            </w:r>
          </w:p>
          <w:p w14:paraId="4B13CDAC"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Human health and safety</w:t>
            </w:r>
          </w:p>
          <w:p w14:paraId="51C61756"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Utility and governmental services</w:t>
            </w:r>
          </w:p>
          <w:p w14:paraId="377A2A4A"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Environmental monitoring facilities</w:t>
            </w:r>
          </w:p>
          <w:p w14:paraId="64B52FDF"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Production and industrial facilities</w:t>
            </w:r>
          </w:p>
          <w:p w14:paraId="15FA79CC"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Agricultural and aquaculture facilities</w:t>
            </w:r>
          </w:p>
          <w:p w14:paraId="451F3D48"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Population distribution – demography</w:t>
            </w:r>
          </w:p>
          <w:p w14:paraId="5A7ED982"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Area management/restriction /regulation zones &amp; reporting units</w:t>
            </w:r>
          </w:p>
          <w:p w14:paraId="4F6B2EB6"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Natural risk zones</w:t>
            </w:r>
          </w:p>
          <w:p w14:paraId="5DEBD7D4"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Atmospheric conditions</w:t>
            </w:r>
          </w:p>
          <w:p w14:paraId="3BC3C671"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Meteorological geographical features</w:t>
            </w:r>
          </w:p>
          <w:p w14:paraId="60A0C281"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Oceanographic geographical features</w:t>
            </w:r>
          </w:p>
          <w:p w14:paraId="1252A675"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Sea regions</w:t>
            </w:r>
          </w:p>
          <w:p w14:paraId="07C896F2"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Bio-geographical regions</w:t>
            </w:r>
          </w:p>
          <w:p w14:paraId="35537D7C"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Habitats and biotopes</w:t>
            </w:r>
          </w:p>
          <w:p w14:paraId="5F01C108"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Species distribution</w:t>
            </w:r>
          </w:p>
          <w:p w14:paraId="61573894" w14:textId="77777777" w:rsidR="00D917E1" w:rsidRPr="0055617D" w:rsidRDefault="00D917E1" w:rsidP="00D917E1">
            <w:pPr>
              <w:rPr>
                <w:rFonts w:asciiTheme="minorHAnsi" w:hAnsiTheme="minorHAnsi"/>
                <w:szCs w:val="22"/>
                <w:lang w:val="en-US"/>
              </w:rPr>
            </w:pPr>
            <w:r w:rsidRPr="0055617D">
              <w:rPr>
                <w:rFonts w:asciiTheme="minorHAnsi" w:hAnsiTheme="minorHAnsi"/>
                <w:szCs w:val="22"/>
                <w:lang w:val="en-US"/>
              </w:rPr>
              <w:t>Energy Resources</w:t>
            </w:r>
          </w:p>
          <w:p w14:paraId="6A227C73" w14:textId="77777777" w:rsidR="00D917E1" w:rsidRPr="0055617D" w:rsidRDefault="00D917E1" w:rsidP="00D917E1">
            <w:pPr>
              <w:rPr>
                <w:rFonts w:asciiTheme="minorHAnsi" w:hAnsiTheme="minorHAnsi"/>
                <w:szCs w:val="22"/>
              </w:rPr>
            </w:pPr>
            <w:r w:rsidRPr="0055617D">
              <w:rPr>
                <w:rFonts w:asciiTheme="minorHAnsi" w:hAnsiTheme="minorHAnsi"/>
                <w:szCs w:val="22"/>
                <w:lang w:val="en-US"/>
              </w:rPr>
              <w:t>Mineral resources</w:t>
            </w:r>
          </w:p>
        </w:tc>
      </w:tr>
    </w:tbl>
    <w:p w14:paraId="3EF14C7B" w14:textId="77777777" w:rsidR="00D917E1" w:rsidRPr="0055617D" w:rsidRDefault="00D917E1" w:rsidP="00D917E1">
      <w:pPr>
        <w:rPr>
          <w:rFonts w:asciiTheme="minorHAnsi" w:hAnsiTheme="minorHAnsi"/>
          <w:szCs w:val="22"/>
        </w:rPr>
      </w:pPr>
    </w:p>
    <w:p w14:paraId="630C3ABE" w14:textId="7F47FE6B" w:rsidR="00D917E1" w:rsidRDefault="00D917E1">
      <w:pPr>
        <w:pStyle w:val="normal0"/>
      </w:pPr>
      <w:r>
        <w:t xml:space="preserve">To develop interoperability across these 34 data themes (in 28 countries, and 24 languages) </w:t>
      </w:r>
      <w:proofErr w:type="gramStart"/>
      <w:r>
        <w:t>is  not</w:t>
      </w:r>
      <w:proofErr w:type="gramEnd"/>
      <w:r>
        <w:t xml:space="preserve"> a trivial  process. The approach taken has been to define for each theme (with the help of many experts across Europe) what are the key </w:t>
      </w:r>
      <w:r w:rsidR="00BD5F5A">
        <w:t>variables</w:t>
      </w:r>
      <w:r>
        <w:t xml:space="preserve"> that a</w:t>
      </w:r>
      <w:r w:rsidR="00BD5F5A">
        <w:t>r</w:t>
      </w:r>
      <w:r>
        <w:t xml:space="preserve">e necessary </w:t>
      </w:r>
      <w:r w:rsidR="00BD5F5A">
        <w:t xml:space="preserve">to support environmental policy, develop a generalised data model, and </w:t>
      </w:r>
      <w:r w:rsidR="003F6ACE">
        <w:t>then develop methods and tools so that the many organisations responsible for data falling in each of these themes can map the sche</w:t>
      </w:r>
      <w:r w:rsidR="00BD5F5A">
        <w:t>m</w:t>
      </w:r>
      <w:r w:rsidR="003F6ACE">
        <w:t>a</w:t>
      </w:r>
      <w:r w:rsidR="00BD5F5A">
        <w:t>s of the</w:t>
      </w:r>
      <w:r w:rsidR="003F6ACE">
        <w:t xml:space="preserve">ir data to the commonly agreed European one. For more </w:t>
      </w:r>
      <w:r w:rsidR="003F6ACE">
        <w:lastRenderedPageBreak/>
        <w:t xml:space="preserve">information see </w:t>
      </w:r>
      <w:hyperlink r:id="rId8" w:history="1">
        <w:r w:rsidR="003F6ACE" w:rsidRPr="002551FF">
          <w:rPr>
            <w:rStyle w:val="Hyperlink"/>
          </w:rPr>
          <w:t>http://inspire.ec.europa.eu/index.cfm</w:t>
        </w:r>
      </w:hyperlink>
      <w:r w:rsidR="003F6ACE">
        <w:t xml:space="preserve"> and more </w:t>
      </w:r>
      <w:proofErr w:type="gramStart"/>
      <w:r w:rsidR="003F6ACE">
        <w:t xml:space="preserve">specifically </w:t>
      </w:r>
      <w:r w:rsidR="00BD5F5A">
        <w:t xml:space="preserve"> </w:t>
      </w:r>
      <w:proofErr w:type="gramEnd"/>
      <w:r w:rsidR="003F6ACE">
        <w:fldChar w:fldCharType="begin"/>
      </w:r>
      <w:r w:rsidR="003F6ACE">
        <w:instrText xml:space="preserve"> HYPERLINK "</w:instrText>
      </w:r>
      <w:r w:rsidR="003F6ACE" w:rsidRPr="003F6ACE">
        <w:instrText>http://inspire.ec.europa.eu/index.cfm/pageid/2</w:instrText>
      </w:r>
      <w:r w:rsidR="003F6ACE">
        <w:instrText xml:space="preserve">" </w:instrText>
      </w:r>
      <w:r w:rsidR="003F6ACE">
        <w:fldChar w:fldCharType="separate"/>
      </w:r>
      <w:r w:rsidR="003F6ACE" w:rsidRPr="002551FF">
        <w:rPr>
          <w:rStyle w:val="Hyperlink"/>
        </w:rPr>
        <w:t>http://inspire.ec.europa.eu/index.cfm/pageid/2</w:t>
      </w:r>
      <w:r w:rsidR="003F6ACE">
        <w:fldChar w:fldCharType="end"/>
      </w:r>
      <w:r w:rsidR="003F6ACE">
        <w:t xml:space="preserve"> </w:t>
      </w:r>
    </w:p>
    <w:p w14:paraId="013365AA" w14:textId="77777777" w:rsidR="00D917E1" w:rsidRDefault="00D917E1">
      <w:pPr>
        <w:pStyle w:val="normal0"/>
      </w:pPr>
    </w:p>
    <w:p w14:paraId="07F84317" w14:textId="48979888" w:rsidR="003F6ACE" w:rsidRDefault="003F6ACE">
      <w:pPr>
        <w:pStyle w:val="normal0"/>
      </w:pPr>
      <w:r>
        <w:t xml:space="preserve">As part of this process, a key issues has been to agree on terms and definitions and publish them in the INSPIRE registry. </w:t>
      </w:r>
      <w:hyperlink r:id="rId9" w:history="1">
        <w:r w:rsidRPr="002551FF">
          <w:rPr>
            <w:rStyle w:val="Hyperlink"/>
          </w:rPr>
          <w:t>http://inspire.ec.europa.eu/registry/</w:t>
        </w:r>
      </w:hyperlink>
      <w:r>
        <w:t xml:space="preserve"> </w:t>
      </w:r>
    </w:p>
    <w:p w14:paraId="5A327257" w14:textId="77777777" w:rsidR="003F6ACE" w:rsidRDefault="003F6ACE">
      <w:pPr>
        <w:pStyle w:val="normal0"/>
      </w:pPr>
    </w:p>
    <w:p w14:paraId="5C595B28" w14:textId="291417F5" w:rsidR="003F6ACE" w:rsidRDefault="003F6ACE">
      <w:pPr>
        <w:pStyle w:val="normal0"/>
      </w:pPr>
      <w:r>
        <w:t xml:space="preserve">Many of these terms can contribute to the creation of an Urban Dictionary as set out in the WG case statement: </w:t>
      </w:r>
    </w:p>
    <w:p w14:paraId="02E7E939" w14:textId="77777777" w:rsidR="003F6ACE" w:rsidRDefault="003F6ACE">
      <w:pPr>
        <w:pStyle w:val="normal0"/>
      </w:pPr>
    </w:p>
    <w:p w14:paraId="15EAF3AB" w14:textId="2EAC5CDB" w:rsidR="003F6ACE" w:rsidRPr="003F6ACE" w:rsidRDefault="003F6ACE" w:rsidP="003F6ACE">
      <w:pPr>
        <w:pStyle w:val="normal0"/>
        <w:ind w:left="720"/>
        <w:rPr>
          <w:i/>
        </w:rPr>
      </w:pPr>
      <w:r w:rsidRPr="003F6ACE">
        <w:rPr>
          <w:i/>
          <w:iCs/>
        </w:rPr>
        <w:t xml:space="preserve">The WG will assess the feasibility of developing a dedicated urban data dictionary, leveraging existing thesauri and dictionaries such as the INSPIRE feature concept dictionary, the General Environmental Multilingual Thesaurus, </w:t>
      </w:r>
      <w:proofErr w:type="spellStart"/>
      <w:r w:rsidRPr="003F6ACE">
        <w:rPr>
          <w:i/>
          <w:iCs/>
        </w:rPr>
        <w:t>EuroVOC</w:t>
      </w:r>
      <w:proofErr w:type="spellEnd"/>
      <w:r w:rsidRPr="003F6ACE">
        <w:rPr>
          <w:i/>
          <w:iCs/>
        </w:rPr>
        <w:t>, etc. and augmented by folksonomies derived from social networks data mining.</w:t>
      </w:r>
    </w:p>
    <w:p w14:paraId="6B0AE86B" w14:textId="77777777" w:rsidR="003F6ACE" w:rsidRDefault="003F6ACE">
      <w:pPr>
        <w:pStyle w:val="normal0"/>
      </w:pPr>
    </w:p>
    <w:p w14:paraId="25730425" w14:textId="391A5330" w:rsidR="003F6ACE" w:rsidRDefault="003F6ACE">
      <w:pPr>
        <w:pStyle w:val="normal0"/>
      </w:pPr>
      <w:r>
        <w:t xml:space="preserve">As part of the JRC research activities, we have already developed bridges between the INSPIRE Feature Concept Dictionary and other thesauri and vocabularies. With this in mind, we </w:t>
      </w:r>
      <w:r w:rsidR="003C618A">
        <w:t xml:space="preserve">propose to start from this core set of aligned vocabularies and explore its feasibility as a framework for an UQOL Urban data </w:t>
      </w:r>
      <w:r w:rsidR="00FF1CE1">
        <w:t>dictionary</w:t>
      </w:r>
      <w:bookmarkStart w:id="2" w:name="_GoBack"/>
      <w:bookmarkEnd w:id="2"/>
      <w:r w:rsidR="003C618A">
        <w:t>.</w:t>
      </w:r>
    </w:p>
    <w:p w14:paraId="7D0E3029" w14:textId="77777777" w:rsidR="001A6C39" w:rsidRDefault="00065190">
      <w:pPr>
        <w:pStyle w:val="Heading1"/>
        <w:contextualSpacing w:val="0"/>
      </w:pPr>
      <w:bookmarkStart w:id="3" w:name="h.lcx8zs79b1fn" w:colFirst="0" w:colLast="0"/>
      <w:bookmarkEnd w:id="3"/>
      <w:r>
        <w:t>Proposal</w:t>
      </w:r>
    </w:p>
    <w:p w14:paraId="245A8597" w14:textId="3A119AF2" w:rsidR="001A6C39" w:rsidRDefault="003C618A">
      <w:pPr>
        <w:pStyle w:val="normal0"/>
      </w:pPr>
      <w:r w:rsidRPr="003C618A">
        <w:rPr>
          <w:iCs/>
        </w:rPr>
        <w:t>To assess the feasibility of developing a dedicated urban data dictionary</w:t>
      </w:r>
      <w:r>
        <w:rPr>
          <w:iCs/>
        </w:rPr>
        <w:t>,</w:t>
      </w:r>
      <w:r>
        <w:t xml:space="preserve"> </w:t>
      </w:r>
      <w:r w:rsidR="00065190">
        <w:t>we propose to set up an online environment for the creation and maintenance of a knowledge base (KB), where WG members can:</w:t>
      </w:r>
    </w:p>
    <w:p w14:paraId="3FC3AC86" w14:textId="77777777" w:rsidR="001A6C39" w:rsidRDefault="00065190">
      <w:pPr>
        <w:pStyle w:val="normal0"/>
        <w:numPr>
          <w:ilvl w:val="0"/>
          <w:numId w:val="1"/>
        </w:numPr>
        <w:ind w:hanging="359"/>
        <w:contextualSpacing/>
      </w:pPr>
      <w:proofErr w:type="gramStart"/>
      <w:r>
        <w:t>contribute</w:t>
      </w:r>
      <w:proofErr w:type="gramEnd"/>
      <w:r>
        <w:t xml:space="preserve"> existing thesauri</w:t>
      </w:r>
    </w:p>
    <w:p w14:paraId="50BE7323" w14:textId="77777777" w:rsidR="001A6C39" w:rsidRDefault="00065190">
      <w:pPr>
        <w:pStyle w:val="normal0"/>
        <w:numPr>
          <w:ilvl w:val="0"/>
          <w:numId w:val="1"/>
        </w:numPr>
        <w:ind w:hanging="359"/>
        <w:contextualSpacing/>
      </w:pPr>
      <w:proofErr w:type="gramStart"/>
      <w:r>
        <w:t>identify</w:t>
      </w:r>
      <w:proofErr w:type="gramEnd"/>
      <w:r>
        <w:t xml:space="preserve"> relevant terms from existing thesauri</w:t>
      </w:r>
    </w:p>
    <w:p w14:paraId="3553D31E" w14:textId="77777777" w:rsidR="001A6C39" w:rsidRDefault="00065190">
      <w:pPr>
        <w:pStyle w:val="normal0"/>
        <w:numPr>
          <w:ilvl w:val="0"/>
          <w:numId w:val="1"/>
        </w:numPr>
        <w:ind w:hanging="359"/>
        <w:contextualSpacing/>
      </w:pPr>
      <w:proofErr w:type="gramStart"/>
      <w:r>
        <w:t>contribute</w:t>
      </w:r>
      <w:proofErr w:type="gramEnd"/>
      <w:r>
        <w:t xml:space="preserve"> / create alignments across relevant terms from different thesauri</w:t>
      </w:r>
    </w:p>
    <w:p w14:paraId="6BD6F1B9" w14:textId="77777777" w:rsidR="001A6C39" w:rsidRDefault="00065190">
      <w:pPr>
        <w:pStyle w:val="normal0"/>
        <w:numPr>
          <w:ilvl w:val="0"/>
          <w:numId w:val="1"/>
        </w:numPr>
        <w:ind w:hanging="359"/>
        <w:contextualSpacing/>
      </w:pPr>
      <w:proofErr w:type="gramStart"/>
      <w:r>
        <w:t>create</w:t>
      </w:r>
      <w:proofErr w:type="gramEnd"/>
      <w:r>
        <w:t xml:space="preserve"> new thesauri</w:t>
      </w:r>
      <w:r w:rsidR="007F0A70">
        <w:t>.</w:t>
      </w:r>
    </w:p>
    <w:p w14:paraId="30043F84" w14:textId="77777777" w:rsidR="007F0A70" w:rsidRDefault="007F0A70">
      <w:pPr>
        <w:pStyle w:val="normal0"/>
      </w:pPr>
    </w:p>
    <w:p w14:paraId="2E0587CA" w14:textId="77777777" w:rsidR="001A6C39" w:rsidRDefault="00065190">
      <w:pPr>
        <w:pStyle w:val="normal0"/>
      </w:pPr>
      <w:r>
        <w:t>From the technological side, the proposal is to use Linked Data and Semantic Web tools and languages. In particular we propose to use SKOS</w:t>
      </w:r>
      <w:r>
        <w:rPr>
          <w:vertAlign w:val="superscript"/>
        </w:rPr>
        <w:footnoteReference w:id="1"/>
      </w:r>
      <w:r>
        <w:t xml:space="preserve"> for the representation of the KB’s content, and a triple store for its storage, maintenance, and access. The rationale behind this proposal is that (a) SKOS is currently a widely used standard for the representation of thesauri and semantic relationships, and (b) triple stores are specifically designed for storing Linked Data (as SKOS-encoded content is) and it supports a query language, SPARQL</w:t>
      </w:r>
      <w:r>
        <w:rPr>
          <w:vertAlign w:val="superscript"/>
        </w:rPr>
        <w:footnoteReference w:id="2"/>
      </w:r>
      <w:r>
        <w:t>, offering WG members the ability to effectively explore the KB’s semantic graph.</w:t>
      </w:r>
    </w:p>
    <w:p w14:paraId="25372C3F" w14:textId="77777777" w:rsidR="001A6C39" w:rsidRDefault="00065190">
      <w:pPr>
        <w:pStyle w:val="Heading1"/>
        <w:contextualSpacing w:val="0"/>
      </w:pPr>
      <w:bookmarkStart w:id="4" w:name="h.asybz0pi81gt" w:colFirst="0" w:colLast="0"/>
      <w:bookmarkEnd w:id="4"/>
      <w:r>
        <w:t>Our contribution</w:t>
      </w:r>
    </w:p>
    <w:p w14:paraId="50A93AE3" w14:textId="77777777" w:rsidR="001A6C39" w:rsidRDefault="00065190">
      <w:pPr>
        <w:pStyle w:val="normal0"/>
      </w:pPr>
      <w:r>
        <w:t>JRC can offer a contribution at two levels:</w:t>
      </w:r>
    </w:p>
    <w:p w14:paraId="0744F3AE" w14:textId="77777777" w:rsidR="001A6C39" w:rsidRDefault="00065190">
      <w:pPr>
        <w:pStyle w:val="Heading2"/>
        <w:contextualSpacing w:val="0"/>
      </w:pPr>
      <w:bookmarkStart w:id="5" w:name="h.33in0fihkg47" w:colFirst="0" w:colLast="0"/>
      <w:bookmarkEnd w:id="5"/>
      <w:r>
        <w:t>Setting up and maintaining the triple store to store the knowledge base</w:t>
      </w:r>
    </w:p>
    <w:p w14:paraId="7B450C2F" w14:textId="77777777" w:rsidR="001A6C39" w:rsidRDefault="00065190">
      <w:pPr>
        <w:pStyle w:val="normal0"/>
      </w:pPr>
      <w:r>
        <w:t xml:space="preserve">We plan to use </w:t>
      </w:r>
      <w:proofErr w:type="spellStart"/>
      <w:r>
        <w:t>OpenLink</w:t>
      </w:r>
      <w:proofErr w:type="spellEnd"/>
      <w:r>
        <w:t xml:space="preserve"> Virtuoso</w:t>
      </w:r>
      <w:r>
        <w:rPr>
          <w:vertAlign w:val="superscript"/>
        </w:rPr>
        <w:footnoteReference w:id="3"/>
      </w:r>
      <w:r>
        <w:t>, which offers the basic functionalities required for the knowledge base environment (</w:t>
      </w:r>
      <w:proofErr w:type="spellStart"/>
      <w:r>
        <w:t>KBEnv</w:t>
      </w:r>
      <w:proofErr w:type="spellEnd"/>
      <w:r>
        <w:t xml:space="preserve">). </w:t>
      </w:r>
    </w:p>
    <w:p w14:paraId="200ED2A1" w14:textId="77777777" w:rsidR="0063047B" w:rsidRDefault="0063047B">
      <w:pPr>
        <w:pStyle w:val="normal0"/>
      </w:pPr>
    </w:p>
    <w:p w14:paraId="22F16D33" w14:textId="77777777" w:rsidR="001A6C39" w:rsidRDefault="00065190">
      <w:pPr>
        <w:pStyle w:val="normal0"/>
      </w:pPr>
      <w:r>
        <w:lastRenderedPageBreak/>
        <w:t>WG members will be given specific access privileges to edit the KB. These operations will be carried out manually by using the Virtuoso frontend. Potentially, the knowledge base can also be edited via the SPARUL API (SPARQL Update</w:t>
      </w:r>
      <w:r>
        <w:rPr>
          <w:vertAlign w:val="superscript"/>
        </w:rPr>
        <w:footnoteReference w:id="4"/>
      </w:r>
      <w:r>
        <w:t>). The availability of this option will be considered in a later phase, based on use cases and requirements.</w:t>
      </w:r>
    </w:p>
    <w:p w14:paraId="22F6F666" w14:textId="77777777" w:rsidR="001A6C39" w:rsidRDefault="00065190">
      <w:pPr>
        <w:pStyle w:val="Heading2"/>
        <w:contextualSpacing w:val="0"/>
      </w:pPr>
      <w:bookmarkStart w:id="6" w:name="h.pr80izmhfe1m" w:colFirst="0" w:colLast="0"/>
      <w:bookmarkEnd w:id="6"/>
      <w:r>
        <w:t>Contributing in the creation of the knowledge base</w:t>
      </w:r>
    </w:p>
    <w:p w14:paraId="77577BB8" w14:textId="77777777" w:rsidR="001A6C39" w:rsidRDefault="00065190">
      <w:pPr>
        <w:pStyle w:val="normal0"/>
      </w:pPr>
      <w:r>
        <w:t xml:space="preserve">JRC can contribute a number of thesauri and alignments as a basis for the KB. </w:t>
      </w:r>
    </w:p>
    <w:p w14:paraId="72324BC9" w14:textId="77777777" w:rsidR="001A6C39" w:rsidRDefault="00065190">
      <w:pPr>
        <w:pStyle w:val="normal0"/>
      </w:pPr>
      <w:r>
        <w:t>In particular, we can contribute all the alignments created in the framework of the EU project EuroGEOSS</w:t>
      </w:r>
      <w:r>
        <w:rPr>
          <w:vertAlign w:val="superscript"/>
        </w:rPr>
        <w:footnoteReference w:id="5"/>
      </w:r>
      <w:r>
        <w:t>, which cover the following thesauri:</w:t>
      </w:r>
    </w:p>
    <w:p w14:paraId="0E92474C" w14:textId="77777777" w:rsidR="001A6C39" w:rsidRDefault="001A6C39">
      <w:pPr>
        <w:pStyle w:val="normal0"/>
      </w:pPr>
    </w:p>
    <w:p w14:paraId="1CC5EA08" w14:textId="77777777" w:rsidR="001A6C39" w:rsidRDefault="00065190">
      <w:pPr>
        <w:pStyle w:val="normal0"/>
        <w:numPr>
          <w:ilvl w:val="0"/>
          <w:numId w:val="2"/>
        </w:numPr>
        <w:ind w:hanging="359"/>
        <w:contextualSpacing/>
      </w:pPr>
      <w:r>
        <w:t>INSPIRE themes</w:t>
      </w:r>
      <w:r>
        <w:rPr>
          <w:vertAlign w:val="superscript"/>
        </w:rPr>
        <w:footnoteReference w:id="6"/>
      </w:r>
      <w:r>
        <w:t xml:space="preserve"> and feature concepts</w:t>
      </w:r>
      <w:r>
        <w:rPr>
          <w:vertAlign w:val="superscript"/>
        </w:rPr>
        <w:footnoteReference w:id="7"/>
      </w:r>
    </w:p>
    <w:p w14:paraId="6FAFE9F4" w14:textId="26264421" w:rsidR="001A6C39" w:rsidRDefault="00065190">
      <w:pPr>
        <w:pStyle w:val="normal0"/>
        <w:numPr>
          <w:ilvl w:val="0"/>
          <w:numId w:val="2"/>
        </w:numPr>
        <w:ind w:hanging="359"/>
        <w:contextualSpacing/>
      </w:pPr>
      <w:r>
        <w:t>GEMET</w:t>
      </w:r>
      <w:r>
        <w:rPr>
          <w:vertAlign w:val="superscript"/>
        </w:rPr>
        <w:footnoteReference w:id="8"/>
      </w:r>
      <w:r w:rsidR="00D917E1">
        <w:t>: The General Multilingual Environmental Thesaurus</w:t>
      </w:r>
    </w:p>
    <w:p w14:paraId="4AAF268F" w14:textId="77777777" w:rsidR="001A6C39" w:rsidRDefault="00065190">
      <w:pPr>
        <w:pStyle w:val="normal0"/>
        <w:numPr>
          <w:ilvl w:val="0"/>
          <w:numId w:val="2"/>
        </w:numPr>
        <w:ind w:hanging="359"/>
        <w:contextualSpacing/>
      </w:pPr>
      <w:r>
        <w:t>GEOSS Societal Benefit Areas</w:t>
      </w:r>
      <w:r>
        <w:rPr>
          <w:vertAlign w:val="superscript"/>
        </w:rPr>
        <w:footnoteReference w:id="9"/>
      </w:r>
    </w:p>
    <w:p w14:paraId="3C670B99" w14:textId="77777777" w:rsidR="001A6C39" w:rsidRDefault="00065190">
      <w:pPr>
        <w:pStyle w:val="normal0"/>
        <w:numPr>
          <w:ilvl w:val="0"/>
          <w:numId w:val="2"/>
        </w:numPr>
        <w:ind w:hanging="359"/>
        <w:contextualSpacing/>
      </w:pPr>
      <w:r>
        <w:t xml:space="preserve">GEOSS Earth Observation vocabulary </w:t>
      </w:r>
    </w:p>
    <w:p w14:paraId="5834C9A4" w14:textId="77777777" w:rsidR="001A6C39" w:rsidRDefault="00065190">
      <w:pPr>
        <w:pStyle w:val="normal0"/>
        <w:numPr>
          <w:ilvl w:val="0"/>
          <w:numId w:val="2"/>
        </w:numPr>
        <w:ind w:hanging="359"/>
        <w:contextualSpacing/>
      </w:pPr>
      <w:r>
        <w:t>EuroGEOSS Drought vocabulary</w:t>
      </w:r>
      <w:r>
        <w:rPr>
          <w:vertAlign w:val="superscript"/>
        </w:rPr>
        <w:footnoteReference w:id="10"/>
      </w:r>
    </w:p>
    <w:p w14:paraId="7C288958" w14:textId="77777777" w:rsidR="001A6C39" w:rsidRDefault="00065190">
      <w:pPr>
        <w:pStyle w:val="normal0"/>
        <w:numPr>
          <w:ilvl w:val="0"/>
          <w:numId w:val="2"/>
        </w:numPr>
        <w:ind w:hanging="359"/>
        <w:contextualSpacing/>
      </w:pPr>
      <w:r>
        <w:t>GCMD Earth science keywords</w:t>
      </w:r>
      <w:r>
        <w:rPr>
          <w:vertAlign w:val="superscript"/>
        </w:rPr>
        <w:footnoteReference w:id="11"/>
      </w:r>
    </w:p>
    <w:p w14:paraId="3A29DCF8" w14:textId="77777777" w:rsidR="001A6C39" w:rsidRDefault="00065190">
      <w:pPr>
        <w:pStyle w:val="normal0"/>
        <w:numPr>
          <w:ilvl w:val="0"/>
          <w:numId w:val="2"/>
        </w:numPr>
        <w:ind w:hanging="359"/>
        <w:contextualSpacing/>
      </w:pPr>
      <w:r>
        <w:t>Cadastre and Land Administration Thesaurus (</w:t>
      </w:r>
      <w:proofErr w:type="spellStart"/>
      <w:r>
        <w:t>CaLAThe</w:t>
      </w:r>
      <w:proofErr w:type="spellEnd"/>
      <w:r>
        <w:t>)</w:t>
      </w:r>
      <w:r>
        <w:rPr>
          <w:vertAlign w:val="superscript"/>
        </w:rPr>
        <w:footnoteReference w:id="12"/>
      </w:r>
    </w:p>
    <w:p w14:paraId="730EF46D" w14:textId="77777777" w:rsidR="001A6C39" w:rsidRDefault="001A6C39">
      <w:pPr>
        <w:pStyle w:val="normal0"/>
      </w:pPr>
    </w:p>
    <w:p w14:paraId="1FC3EDBD" w14:textId="77777777" w:rsidR="001A6C39" w:rsidRDefault="00065190">
      <w:pPr>
        <w:pStyle w:val="normal0"/>
      </w:pPr>
      <w:r>
        <w:t xml:space="preserve">These alignments, currently used in GEOSS, are available through the JRC’s </w:t>
      </w:r>
      <w:proofErr w:type="spellStart"/>
      <w:r>
        <w:t>SemanticLab</w:t>
      </w:r>
      <w:proofErr w:type="spellEnd"/>
      <w:r>
        <w:t xml:space="preserve"> SPARQL endpoint</w:t>
      </w:r>
      <w:r>
        <w:rPr>
          <w:vertAlign w:val="superscript"/>
        </w:rPr>
        <w:footnoteReference w:id="13"/>
      </w:r>
      <w:r>
        <w:t xml:space="preserve"> (HTML preview: </w:t>
      </w:r>
      <w:hyperlink r:id="rId10">
        <w:r>
          <w:rPr>
            <w:color w:val="1155CC"/>
            <w:u w:val="single"/>
          </w:rPr>
          <w:t>http://bit.ly/1z1hLSu</w:t>
        </w:r>
      </w:hyperlink>
      <w:r>
        <w:t>).</w:t>
      </w:r>
    </w:p>
    <w:p w14:paraId="3A84341E" w14:textId="77777777" w:rsidR="001A6C39" w:rsidRDefault="001A6C39">
      <w:pPr>
        <w:pStyle w:val="normal0"/>
      </w:pPr>
    </w:p>
    <w:p w14:paraId="7CD02F2C" w14:textId="77777777" w:rsidR="001A6C39" w:rsidRDefault="00065190">
      <w:pPr>
        <w:pStyle w:val="normal0"/>
      </w:pPr>
      <w:r>
        <w:t xml:space="preserve">Moreover, we can include in the KB the alignments developed by the EU Publications Office between </w:t>
      </w:r>
      <w:proofErr w:type="spellStart"/>
      <w:r>
        <w:t>EuroVoc</w:t>
      </w:r>
      <w:proofErr w:type="spellEnd"/>
      <w:r>
        <w:rPr>
          <w:vertAlign w:val="superscript"/>
        </w:rPr>
        <w:footnoteReference w:id="14"/>
      </w:r>
      <w:r>
        <w:t xml:space="preserve"> and a number of other thesauri - including, AGROVOC</w:t>
      </w:r>
      <w:r>
        <w:rPr>
          <w:vertAlign w:val="superscript"/>
        </w:rPr>
        <w:footnoteReference w:id="15"/>
      </w:r>
      <w:r>
        <w:t>, GEMET and the INSPIRE themes. These alignments are available from the EU Open Data Portal.</w:t>
      </w:r>
      <w:r>
        <w:rPr>
          <w:vertAlign w:val="superscript"/>
        </w:rPr>
        <w:footnoteReference w:id="16"/>
      </w:r>
    </w:p>
    <w:p w14:paraId="59AEA7BD" w14:textId="77777777" w:rsidR="001A6C39" w:rsidRDefault="001A6C39">
      <w:pPr>
        <w:pStyle w:val="normal0"/>
      </w:pPr>
    </w:p>
    <w:p w14:paraId="1C65E823" w14:textId="77777777" w:rsidR="001A6C39" w:rsidRDefault="001A6C39">
      <w:pPr>
        <w:pStyle w:val="normal0"/>
      </w:pPr>
    </w:p>
    <w:sectPr w:rsidR="001A6C3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47BCF" w14:textId="77777777" w:rsidR="003F6ACE" w:rsidRDefault="003F6ACE">
      <w:pPr>
        <w:spacing w:line="240" w:lineRule="auto"/>
      </w:pPr>
      <w:r>
        <w:separator/>
      </w:r>
    </w:p>
  </w:endnote>
  <w:endnote w:type="continuationSeparator" w:id="0">
    <w:p w14:paraId="61A9B9B9" w14:textId="77777777" w:rsidR="003F6ACE" w:rsidRDefault="003F6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73E77" w14:textId="77777777" w:rsidR="003F6ACE" w:rsidRDefault="003F6ACE">
      <w:pPr>
        <w:spacing w:line="240" w:lineRule="auto"/>
      </w:pPr>
      <w:r>
        <w:separator/>
      </w:r>
    </w:p>
  </w:footnote>
  <w:footnote w:type="continuationSeparator" w:id="0">
    <w:p w14:paraId="6F33FE1D" w14:textId="77777777" w:rsidR="003F6ACE" w:rsidRDefault="003F6ACE">
      <w:pPr>
        <w:spacing w:line="240" w:lineRule="auto"/>
      </w:pPr>
      <w:r>
        <w:continuationSeparator/>
      </w:r>
    </w:p>
  </w:footnote>
  <w:footnote w:id="1">
    <w:p w14:paraId="25F23D71" w14:textId="77777777" w:rsidR="003F6ACE" w:rsidRDefault="003F6ACE">
      <w:pPr>
        <w:pStyle w:val="normal0"/>
        <w:spacing w:line="240" w:lineRule="auto"/>
      </w:pPr>
      <w:r>
        <w:rPr>
          <w:vertAlign w:val="superscript"/>
        </w:rPr>
        <w:footnoteRef/>
      </w:r>
      <w:r>
        <w:rPr>
          <w:sz w:val="20"/>
        </w:rPr>
        <w:t xml:space="preserve"> </w:t>
      </w:r>
      <w:hyperlink r:id="rId1">
        <w:r>
          <w:rPr>
            <w:color w:val="1155CC"/>
            <w:sz w:val="20"/>
            <w:u w:val="single"/>
          </w:rPr>
          <w:t>http://www.w3.org/TR/skos-reference/</w:t>
        </w:r>
      </w:hyperlink>
      <w:r>
        <w:rPr>
          <w:sz w:val="20"/>
        </w:rPr>
        <w:t xml:space="preserve"> </w:t>
      </w:r>
    </w:p>
  </w:footnote>
  <w:footnote w:id="2">
    <w:p w14:paraId="592BD770" w14:textId="77777777" w:rsidR="003F6ACE" w:rsidRDefault="003F6ACE">
      <w:pPr>
        <w:pStyle w:val="normal0"/>
        <w:spacing w:line="240" w:lineRule="auto"/>
      </w:pPr>
      <w:r>
        <w:rPr>
          <w:vertAlign w:val="superscript"/>
        </w:rPr>
        <w:footnoteRef/>
      </w:r>
      <w:r>
        <w:rPr>
          <w:sz w:val="20"/>
        </w:rPr>
        <w:t xml:space="preserve"> </w:t>
      </w:r>
      <w:hyperlink r:id="rId2">
        <w:r>
          <w:rPr>
            <w:color w:val="1155CC"/>
            <w:sz w:val="20"/>
            <w:u w:val="single"/>
          </w:rPr>
          <w:t>http://www.w3.org/TR/rdf-sparql-query/</w:t>
        </w:r>
      </w:hyperlink>
      <w:r>
        <w:rPr>
          <w:sz w:val="20"/>
        </w:rPr>
        <w:t xml:space="preserve"> </w:t>
      </w:r>
    </w:p>
  </w:footnote>
  <w:footnote w:id="3">
    <w:p w14:paraId="01F4D728" w14:textId="77777777" w:rsidR="003F6ACE" w:rsidRDefault="003F6ACE">
      <w:pPr>
        <w:pStyle w:val="normal0"/>
        <w:spacing w:line="240" w:lineRule="auto"/>
      </w:pPr>
      <w:r>
        <w:rPr>
          <w:vertAlign w:val="superscript"/>
        </w:rPr>
        <w:footnoteRef/>
      </w:r>
      <w:r>
        <w:rPr>
          <w:sz w:val="20"/>
        </w:rPr>
        <w:t xml:space="preserve"> </w:t>
      </w:r>
      <w:hyperlink r:id="rId3">
        <w:r>
          <w:rPr>
            <w:color w:val="1155CC"/>
            <w:sz w:val="20"/>
            <w:u w:val="single"/>
          </w:rPr>
          <w:t>http://virtuoso.openlinksw.com/</w:t>
        </w:r>
      </w:hyperlink>
      <w:r>
        <w:rPr>
          <w:sz w:val="20"/>
        </w:rPr>
        <w:t xml:space="preserve"> </w:t>
      </w:r>
    </w:p>
  </w:footnote>
  <w:footnote w:id="4">
    <w:p w14:paraId="28EEC97D" w14:textId="77777777" w:rsidR="003F6ACE" w:rsidRDefault="003F6ACE">
      <w:pPr>
        <w:pStyle w:val="normal0"/>
        <w:spacing w:line="240" w:lineRule="auto"/>
      </w:pPr>
      <w:r>
        <w:rPr>
          <w:vertAlign w:val="superscript"/>
        </w:rPr>
        <w:footnoteRef/>
      </w:r>
      <w:r>
        <w:rPr>
          <w:sz w:val="20"/>
        </w:rPr>
        <w:t xml:space="preserve"> </w:t>
      </w:r>
      <w:hyperlink r:id="rId4">
        <w:r>
          <w:rPr>
            <w:color w:val="1155CC"/>
            <w:sz w:val="20"/>
            <w:u w:val="single"/>
          </w:rPr>
          <w:t>http://www.w3.org/Submission/SPARQL-Update/</w:t>
        </w:r>
      </w:hyperlink>
      <w:r>
        <w:rPr>
          <w:sz w:val="20"/>
        </w:rPr>
        <w:t xml:space="preserve"> </w:t>
      </w:r>
    </w:p>
  </w:footnote>
  <w:footnote w:id="5">
    <w:p w14:paraId="6BB47D7A" w14:textId="77777777" w:rsidR="003F6ACE" w:rsidRDefault="003F6ACE">
      <w:pPr>
        <w:pStyle w:val="normal0"/>
        <w:spacing w:line="240" w:lineRule="auto"/>
      </w:pPr>
      <w:r>
        <w:rPr>
          <w:vertAlign w:val="superscript"/>
        </w:rPr>
        <w:footnoteRef/>
      </w:r>
      <w:r>
        <w:rPr>
          <w:sz w:val="20"/>
        </w:rPr>
        <w:t xml:space="preserve"> </w:t>
      </w:r>
      <w:hyperlink r:id="rId5">
        <w:r>
          <w:rPr>
            <w:color w:val="1155CC"/>
            <w:sz w:val="20"/>
            <w:u w:val="single"/>
          </w:rPr>
          <w:t>http://www.eurogeoss.eu/</w:t>
        </w:r>
      </w:hyperlink>
      <w:r>
        <w:rPr>
          <w:sz w:val="20"/>
        </w:rPr>
        <w:t xml:space="preserve"> </w:t>
      </w:r>
    </w:p>
  </w:footnote>
  <w:footnote w:id="6">
    <w:p w14:paraId="063EA397" w14:textId="77777777" w:rsidR="003F6ACE" w:rsidRDefault="003F6ACE">
      <w:pPr>
        <w:pStyle w:val="normal0"/>
        <w:spacing w:line="240" w:lineRule="auto"/>
      </w:pPr>
      <w:r>
        <w:rPr>
          <w:vertAlign w:val="superscript"/>
        </w:rPr>
        <w:footnoteRef/>
      </w:r>
      <w:r>
        <w:rPr>
          <w:sz w:val="20"/>
        </w:rPr>
        <w:t xml:space="preserve"> </w:t>
      </w:r>
      <w:hyperlink r:id="rId6">
        <w:r>
          <w:rPr>
            <w:color w:val="1155CC"/>
            <w:sz w:val="20"/>
            <w:u w:val="single"/>
          </w:rPr>
          <w:t>http://inspire.ec.europa.eu/theme/</w:t>
        </w:r>
      </w:hyperlink>
      <w:r>
        <w:rPr>
          <w:sz w:val="20"/>
        </w:rPr>
        <w:t xml:space="preserve"> </w:t>
      </w:r>
    </w:p>
  </w:footnote>
  <w:footnote w:id="7">
    <w:p w14:paraId="2C168B7C" w14:textId="77777777" w:rsidR="003F6ACE" w:rsidRDefault="003F6ACE">
      <w:pPr>
        <w:pStyle w:val="normal0"/>
        <w:spacing w:line="240" w:lineRule="auto"/>
      </w:pPr>
      <w:r>
        <w:rPr>
          <w:vertAlign w:val="superscript"/>
        </w:rPr>
        <w:footnoteRef/>
      </w:r>
      <w:r>
        <w:rPr>
          <w:sz w:val="20"/>
        </w:rPr>
        <w:t xml:space="preserve"> </w:t>
      </w:r>
      <w:hyperlink r:id="rId7">
        <w:r>
          <w:rPr>
            <w:color w:val="1155CC"/>
            <w:sz w:val="20"/>
            <w:u w:val="single"/>
          </w:rPr>
          <w:t>http://inspire.ec.europa.eu/featureconcept/</w:t>
        </w:r>
      </w:hyperlink>
      <w:r>
        <w:rPr>
          <w:sz w:val="20"/>
        </w:rPr>
        <w:t xml:space="preserve"> </w:t>
      </w:r>
    </w:p>
  </w:footnote>
  <w:footnote w:id="8">
    <w:p w14:paraId="77F1CD4A" w14:textId="77777777" w:rsidR="003F6ACE" w:rsidRDefault="003F6ACE">
      <w:pPr>
        <w:pStyle w:val="normal0"/>
        <w:spacing w:line="240" w:lineRule="auto"/>
      </w:pPr>
      <w:r>
        <w:rPr>
          <w:vertAlign w:val="superscript"/>
        </w:rPr>
        <w:footnoteRef/>
      </w:r>
      <w:r>
        <w:rPr>
          <w:sz w:val="20"/>
        </w:rPr>
        <w:t xml:space="preserve"> </w:t>
      </w:r>
      <w:hyperlink r:id="rId8">
        <w:r>
          <w:rPr>
            <w:color w:val="1155CC"/>
            <w:sz w:val="20"/>
            <w:u w:val="single"/>
          </w:rPr>
          <w:t>http://www.eionet.europa.eu/gemet/</w:t>
        </w:r>
      </w:hyperlink>
      <w:r>
        <w:rPr>
          <w:sz w:val="20"/>
        </w:rPr>
        <w:t xml:space="preserve"> </w:t>
      </w:r>
    </w:p>
  </w:footnote>
  <w:footnote w:id="9">
    <w:p w14:paraId="125D8766" w14:textId="77777777" w:rsidR="003F6ACE" w:rsidRDefault="003F6ACE">
      <w:pPr>
        <w:pStyle w:val="normal0"/>
        <w:spacing w:line="240" w:lineRule="auto"/>
      </w:pPr>
      <w:r>
        <w:rPr>
          <w:vertAlign w:val="superscript"/>
        </w:rPr>
        <w:footnoteRef/>
      </w:r>
      <w:r>
        <w:rPr>
          <w:sz w:val="20"/>
        </w:rPr>
        <w:t xml:space="preserve"> </w:t>
      </w:r>
      <w:hyperlink r:id="rId9">
        <w:r>
          <w:rPr>
            <w:color w:val="1155CC"/>
            <w:sz w:val="20"/>
            <w:u w:val="single"/>
          </w:rPr>
          <w:t>http://en.wikipedia.org/wiki/Societal_Benefit_Areas</w:t>
        </w:r>
      </w:hyperlink>
      <w:r>
        <w:rPr>
          <w:sz w:val="20"/>
        </w:rPr>
        <w:t xml:space="preserve"> </w:t>
      </w:r>
    </w:p>
  </w:footnote>
  <w:footnote w:id="10">
    <w:p w14:paraId="291FFCBE" w14:textId="77777777" w:rsidR="003F6ACE" w:rsidRDefault="003F6ACE">
      <w:pPr>
        <w:pStyle w:val="normal0"/>
        <w:spacing w:line="240" w:lineRule="auto"/>
      </w:pPr>
      <w:r>
        <w:rPr>
          <w:vertAlign w:val="superscript"/>
        </w:rPr>
        <w:footnoteRef/>
      </w:r>
      <w:r>
        <w:rPr>
          <w:sz w:val="20"/>
        </w:rPr>
        <w:t xml:space="preserve"> </w:t>
      </w:r>
      <w:hyperlink r:id="rId10">
        <w:r>
          <w:rPr>
            <w:color w:val="1155CC"/>
            <w:sz w:val="20"/>
            <w:u w:val="single"/>
          </w:rPr>
          <w:t>http://ijsdir.jrc.ec.europa.eu/index.php/ijsdir/article/view/264</w:t>
        </w:r>
      </w:hyperlink>
      <w:r>
        <w:rPr>
          <w:sz w:val="20"/>
        </w:rPr>
        <w:t xml:space="preserve"> </w:t>
      </w:r>
    </w:p>
  </w:footnote>
  <w:footnote w:id="11">
    <w:p w14:paraId="4B2FD0B3" w14:textId="77777777" w:rsidR="003F6ACE" w:rsidRDefault="003F6ACE">
      <w:pPr>
        <w:pStyle w:val="normal0"/>
        <w:spacing w:line="240" w:lineRule="auto"/>
      </w:pPr>
      <w:r>
        <w:rPr>
          <w:vertAlign w:val="superscript"/>
        </w:rPr>
        <w:footnoteRef/>
      </w:r>
      <w:r>
        <w:rPr>
          <w:sz w:val="20"/>
        </w:rPr>
        <w:t xml:space="preserve"> </w:t>
      </w:r>
      <w:hyperlink r:id="rId11">
        <w:r>
          <w:rPr>
            <w:color w:val="1155CC"/>
            <w:sz w:val="20"/>
            <w:u w:val="single"/>
          </w:rPr>
          <w:t>http://gcmd.nasa.gov/learn/keyword_list.html</w:t>
        </w:r>
      </w:hyperlink>
      <w:r>
        <w:rPr>
          <w:sz w:val="20"/>
        </w:rPr>
        <w:t xml:space="preserve"> </w:t>
      </w:r>
    </w:p>
  </w:footnote>
  <w:footnote w:id="12">
    <w:p w14:paraId="04664E67" w14:textId="77777777" w:rsidR="003F6ACE" w:rsidRDefault="003F6ACE">
      <w:pPr>
        <w:pStyle w:val="normal0"/>
        <w:spacing w:line="240" w:lineRule="auto"/>
      </w:pPr>
      <w:r>
        <w:rPr>
          <w:vertAlign w:val="superscript"/>
        </w:rPr>
        <w:footnoteRef/>
      </w:r>
      <w:r>
        <w:rPr>
          <w:sz w:val="20"/>
        </w:rPr>
        <w:t xml:space="preserve"> </w:t>
      </w:r>
      <w:hyperlink r:id="rId12">
        <w:r>
          <w:rPr>
            <w:color w:val="1155CC"/>
            <w:sz w:val="20"/>
            <w:u w:val="single"/>
          </w:rPr>
          <w:t>http://www.cadastralvocabulary.org/</w:t>
        </w:r>
      </w:hyperlink>
      <w:r>
        <w:rPr>
          <w:sz w:val="20"/>
        </w:rPr>
        <w:t xml:space="preserve">  </w:t>
      </w:r>
    </w:p>
  </w:footnote>
  <w:footnote w:id="13">
    <w:p w14:paraId="63DA840E" w14:textId="77777777" w:rsidR="003F6ACE" w:rsidRDefault="003F6ACE">
      <w:pPr>
        <w:pStyle w:val="normal0"/>
        <w:spacing w:line="240" w:lineRule="auto"/>
      </w:pPr>
      <w:r>
        <w:rPr>
          <w:vertAlign w:val="superscript"/>
        </w:rPr>
        <w:footnoteRef/>
      </w:r>
      <w:r>
        <w:rPr>
          <w:sz w:val="20"/>
        </w:rPr>
        <w:t xml:space="preserve"> </w:t>
      </w:r>
      <w:hyperlink r:id="rId13">
        <w:r>
          <w:rPr>
            <w:color w:val="1155CC"/>
            <w:sz w:val="20"/>
            <w:u w:val="single"/>
          </w:rPr>
          <w:t>http://semanticlab.jrc.ec.europa.eu:4433/sparql</w:t>
        </w:r>
      </w:hyperlink>
      <w:r>
        <w:rPr>
          <w:sz w:val="20"/>
        </w:rPr>
        <w:t xml:space="preserve"> </w:t>
      </w:r>
    </w:p>
  </w:footnote>
  <w:footnote w:id="14">
    <w:p w14:paraId="51090798" w14:textId="77777777" w:rsidR="003F6ACE" w:rsidRDefault="003F6ACE">
      <w:pPr>
        <w:pStyle w:val="normal0"/>
        <w:spacing w:line="240" w:lineRule="auto"/>
      </w:pPr>
      <w:r>
        <w:rPr>
          <w:vertAlign w:val="superscript"/>
        </w:rPr>
        <w:footnoteRef/>
      </w:r>
      <w:r>
        <w:rPr>
          <w:sz w:val="20"/>
        </w:rPr>
        <w:t xml:space="preserve"> </w:t>
      </w:r>
      <w:hyperlink r:id="rId14">
        <w:r>
          <w:rPr>
            <w:color w:val="1155CC"/>
            <w:sz w:val="20"/>
            <w:u w:val="single"/>
          </w:rPr>
          <w:t>http://eurovoc.europa.eu/</w:t>
        </w:r>
      </w:hyperlink>
      <w:r>
        <w:rPr>
          <w:sz w:val="20"/>
        </w:rPr>
        <w:t xml:space="preserve"> </w:t>
      </w:r>
    </w:p>
  </w:footnote>
  <w:footnote w:id="15">
    <w:p w14:paraId="62752B62" w14:textId="77777777" w:rsidR="003F6ACE" w:rsidRDefault="003F6ACE">
      <w:pPr>
        <w:pStyle w:val="normal0"/>
        <w:spacing w:line="240" w:lineRule="auto"/>
      </w:pPr>
      <w:r>
        <w:rPr>
          <w:vertAlign w:val="superscript"/>
        </w:rPr>
        <w:footnoteRef/>
      </w:r>
      <w:r>
        <w:rPr>
          <w:sz w:val="20"/>
        </w:rPr>
        <w:t xml:space="preserve"> </w:t>
      </w:r>
      <w:hyperlink r:id="rId15">
        <w:r>
          <w:rPr>
            <w:color w:val="1155CC"/>
            <w:sz w:val="20"/>
            <w:u w:val="single"/>
          </w:rPr>
          <w:t>http://aims.fao.org/agrovoc</w:t>
        </w:r>
      </w:hyperlink>
      <w:r>
        <w:rPr>
          <w:sz w:val="20"/>
        </w:rPr>
        <w:t xml:space="preserve"> </w:t>
      </w:r>
    </w:p>
  </w:footnote>
  <w:footnote w:id="16">
    <w:p w14:paraId="440E2E49" w14:textId="77777777" w:rsidR="003F6ACE" w:rsidRDefault="003F6ACE">
      <w:pPr>
        <w:pStyle w:val="normal0"/>
        <w:spacing w:line="240" w:lineRule="auto"/>
      </w:pPr>
      <w:r>
        <w:rPr>
          <w:vertAlign w:val="superscript"/>
        </w:rPr>
        <w:footnoteRef/>
      </w:r>
      <w:r>
        <w:rPr>
          <w:sz w:val="20"/>
        </w:rPr>
        <w:t xml:space="preserve"> </w:t>
      </w:r>
      <w:hyperlink r:id="rId16">
        <w:r>
          <w:rPr>
            <w:color w:val="1155CC"/>
            <w:sz w:val="20"/>
            <w:u w:val="single"/>
          </w:rPr>
          <w:t>https://open-data.europa.eu/en/data/dataset/eurovoc</w:t>
        </w:r>
      </w:hyperlink>
      <w:r>
        <w:rPr>
          <w:sz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505DD"/>
    <w:multiLevelType w:val="multilevel"/>
    <w:tmpl w:val="305EC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72E208D"/>
    <w:multiLevelType w:val="multilevel"/>
    <w:tmpl w:val="F9F49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6C39"/>
    <w:rsid w:val="00065190"/>
    <w:rsid w:val="001A6C39"/>
    <w:rsid w:val="003C618A"/>
    <w:rsid w:val="003F18F8"/>
    <w:rsid w:val="003F6ACE"/>
    <w:rsid w:val="0063047B"/>
    <w:rsid w:val="007F0A70"/>
    <w:rsid w:val="00BD5F5A"/>
    <w:rsid w:val="00D917E1"/>
    <w:rsid w:val="00FF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3F6A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3F6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nspire.ec.europa.eu/index.cfm" TargetMode="External"/><Relationship Id="rId9" Type="http://schemas.openxmlformats.org/officeDocument/2006/relationships/hyperlink" Target="http://inspire.ec.europa.eu/registry/" TargetMode="External"/><Relationship Id="rId10" Type="http://schemas.openxmlformats.org/officeDocument/2006/relationships/hyperlink" Target="http://bit.ly/1z1hLS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gcmd.nasa.gov/learn/keyword_list.html" TargetMode="External"/><Relationship Id="rId12" Type="http://schemas.openxmlformats.org/officeDocument/2006/relationships/hyperlink" Target="http://www.cadastralvocabulary.org/" TargetMode="External"/><Relationship Id="rId13" Type="http://schemas.openxmlformats.org/officeDocument/2006/relationships/hyperlink" Target="http://semanticlab.jrc.ec.europa.eu:4433/sparql" TargetMode="External"/><Relationship Id="rId14" Type="http://schemas.openxmlformats.org/officeDocument/2006/relationships/hyperlink" Target="http://eurovoc.europa.eu/" TargetMode="External"/><Relationship Id="rId15" Type="http://schemas.openxmlformats.org/officeDocument/2006/relationships/hyperlink" Target="http://aims.fao.org/agrovoc" TargetMode="External"/><Relationship Id="rId16" Type="http://schemas.openxmlformats.org/officeDocument/2006/relationships/hyperlink" Target="https://open-data.europa.eu/en/data/dataset/eurovoc" TargetMode="External"/><Relationship Id="rId1" Type="http://schemas.openxmlformats.org/officeDocument/2006/relationships/hyperlink" Target="http://www.w3.org/TR/skos-reference/" TargetMode="External"/><Relationship Id="rId2" Type="http://schemas.openxmlformats.org/officeDocument/2006/relationships/hyperlink" Target="http://www.w3.org/TR/rdf-sparql-query/" TargetMode="External"/><Relationship Id="rId3" Type="http://schemas.openxmlformats.org/officeDocument/2006/relationships/hyperlink" Target="http://virtuoso.openlinksw.com/" TargetMode="External"/><Relationship Id="rId4" Type="http://schemas.openxmlformats.org/officeDocument/2006/relationships/hyperlink" Target="http://www.w3.org/Submission/SPARQL-Update/" TargetMode="External"/><Relationship Id="rId5" Type="http://schemas.openxmlformats.org/officeDocument/2006/relationships/hyperlink" Target="http://www.eurogeoss.eu/" TargetMode="External"/><Relationship Id="rId6" Type="http://schemas.openxmlformats.org/officeDocument/2006/relationships/hyperlink" Target="http://inspire.ec.europa.eu/theme/" TargetMode="External"/><Relationship Id="rId7" Type="http://schemas.openxmlformats.org/officeDocument/2006/relationships/hyperlink" Target="http://inspire.ec.europa.eu/featureconcept/" TargetMode="External"/><Relationship Id="rId8" Type="http://schemas.openxmlformats.org/officeDocument/2006/relationships/hyperlink" Target="http://www.eionet.europa.eu/gemet/" TargetMode="External"/><Relationship Id="rId9" Type="http://schemas.openxmlformats.org/officeDocument/2006/relationships/hyperlink" Target="http://en.wikipedia.org/wiki/Societal_Benefit_Areas" TargetMode="External"/><Relationship Id="rId10" Type="http://schemas.openxmlformats.org/officeDocument/2006/relationships/hyperlink" Target="http://ijsdir.jrc.ec.europa.eu/index.php/ijsdir/article/view/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865</Words>
  <Characters>4932</Characters>
  <Application>Microsoft Macintosh Word</Application>
  <DocSecurity>0</DocSecurity>
  <Lines>41</Lines>
  <Paragraphs>11</Paragraphs>
  <ScaleCrop>false</ScaleCrop>
  <Company>Jrc</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RDA Urban Quality of Life Indicators (UQoL): Proposal for work on the UQoL Data Dictionary.docx</dc:title>
  <cp:lastModifiedBy>Massimo Craglia</cp:lastModifiedBy>
  <cp:revision>6</cp:revision>
  <dcterms:created xsi:type="dcterms:W3CDTF">2014-10-23T17:15:00Z</dcterms:created>
  <dcterms:modified xsi:type="dcterms:W3CDTF">2014-11-05T17:29:00Z</dcterms:modified>
</cp:coreProperties>
</file>