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77" w:rsidRPr="007A1284" w:rsidRDefault="007A1284" w:rsidP="007A1284">
      <w:pPr>
        <w:pStyle w:val="Titel"/>
      </w:pPr>
      <w:r>
        <w:t xml:space="preserve">FAIR and RDA </w:t>
      </w:r>
      <w:proofErr w:type="spellStart"/>
      <w:r>
        <w:t>DFT</w:t>
      </w:r>
      <w:proofErr w:type="spellEnd"/>
      <w:r>
        <w:t>: sharing</w:t>
      </w:r>
      <w:r w:rsidRPr="007A1284">
        <w:t xml:space="preserve"> the same </w:t>
      </w:r>
      <w:r>
        <w:t>key m</w:t>
      </w:r>
      <w:r w:rsidRPr="007A1284">
        <w:t>essages</w:t>
      </w:r>
    </w:p>
    <w:p w:rsidR="006208E6" w:rsidRDefault="007A1284" w:rsidP="00A5135B">
      <w:pPr>
        <w:pStyle w:val="KeinLeerraum"/>
        <w:rPr>
          <w:lang w:val="en-US"/>
        </w:rPr>
      </w:pPr>
      <w:r>
        <w:rPr>
          <w:lang w:val="en-US"/>
        </w:rPr>
        <w:t xml:space="preserve">Peter, </w:t>
      </w:r>
      <w:r w:rsidR="006208E6">
        <w:rPr>
          <w:lang w:val="en-US"/>
        </w:rPr>
        <w:t>Larry, Raphael, Gary</w:t>
      </w:r>
      <w:r w:rsidR="00FF157A">
        <w:rPr>
          <w:lang w:val="en-US"/>
        </w:rPr>
        <w:t>, Beth</w:t>
      </w:r>
    </w:p>
    <w:p w:rsidR="006208E6" w:rsidRDefault="006208E6" w:rsidP="00A5135B">
      <w:pPr>
        <w:pStyle w:val="KeinLeerraum"/>
        <w:rPr>
          <w:lang w:val="en-US"/>
        </w:rPr>
      </w:pPr>
      <w:r>
        <w:rPr>
          <w:lang w:val="en-US"/>
        </w:rPr>
        <w:t>February 2015</w:t>
      </w:r>
      <w:bookmarkStart w:id="0" w:name="_GoBack"/>
      <w:bookmarkEnd w:id="0"/>
    </w:p>
    <w:p w:rsidR="00A15AB7" w:rsidRDefault="00A15AB7" w:rsidP="00A15AB7">
      <w:pPr>
        <w:pStyle w:val="berschrift1"/>
        <w:rPr>
          <w:lang w:val="en-GB"/>
        </w:rPr>
      </w:pPr>
      <w:r>
        <w:rPr>
          <w:lang w:val="en-GB"/>
        </w:rPr>
        <w:t>Summary</w:t>
      </w:r>
    </w:p>
    <w:p w:rsidR="00A15AB7" w:rsidRPr="00A15AB7" w:rsidRDefault="00BE7ADD" w:rsidP="00A15AB7">
      <w:pPr>
        <w:pStyle w:val="KeinLeerraum"/>
        <w:jc w:val="both"/>
        <w:rPr>
          <w:lang w:val="en-GB"/>
        </w:rPr>
      </w:pPr>
      <w:r>
        <w:rPr>
          <w:lang w:val="en-GB"/>
        </w:rPr>
        <w:t xml:space="preserve">It is agreed that we urgently need to overcome the lack of interoperability and the inefficiencies of working with data. Therefore, it is important to identify key messages that emerge across disciplines, countries and initiatives and turn them to widely agreed messages independent of differences in packaging and </w:t>
      </w:r>
      <w:r w:rsidR="001D20B4">
        <w:rPr>
          <w:lang w:val="en-GB"/>
        </w:rPr>
        <w:t>style</w:t>
      </w:r>
      <w:r>
        <w:rPr>
          <w:lang w:val="en-GB"/>
        </w:rPr>
        <w:t xml:space="preserve">. In this report we show that FAIR principles widely overlap with RDA </w:t>
      </w:r>
      <w:proofErr w:type="gramStart"/>
      <w:r>
        <w:rPr>
          <w:lang w:val="en-GB"/>
        </w:rPr>
        <w:t>results which is</w:t>
      </w:r>
      <w:proofErr w:type="gramEnd"/>
      <w:r>
        <w:rPr>
          <w:lang w:val="en-GB"/>
        </w:rPr>
        <w:t xml:space="preserve"> excellent, since it will allow us to come close to the ideal of widely accepted messages which then have the potential to be accepted a</w:t>
      </w:r>
      <w:r w:rsidR="00CA23FC">
        <w:rPr>
          <w:lang w:val="en-GB"/>
        </w:rPr>
        <w:t xml:space="preserve">s guidelines from funders which </w:t>
      </w:r>
      <w:r w:rsidR="001D20B4">
        <w:rPr>
          <w:lang w:val="en-GB"/>
        </w:rPr>
        <w:t xml:space="preserve">in turn </w:t>
      </w:r>
      <w:r w:rsidR="00CA23FC">
        <w:rPr>
          <w:lang w:val="en-GB"/>
        </w:rPr>
        <w:t>will reduce the huge solutions space, increase interoperability</w:t>
      </w:r>
      <w:r w:rsidR="001D20B4">
        <w:rPr>
          <w:lang w:val="en-GB"/>
        </w:rPr>
        <w:t>,</w:t>
      </w:r>
      <w:r w:rsidR="00CA23FC">
        <w:rPr>
          <w:lang w:val="en-GB"/>
        </w:rPr>
        <w:t xml:space="preserve"> and thus reduce costs. </w:t>
      </w:r>
    </w:p>
    <w:p w:rsidR="00A15AB7" w:rsidRDefault="00A15AB7" w:rsidP="00A15AB7">
      <w:pPr>
        <w:pStyle w:val="berschrift1"/>
        <w:rPr>
          <w:lang w:val="en-GB"/>
        </w:rPr>
      </w:pPr>
      <w:r>
        <w:rPr>
          <w:lang w:val="en-GB"/>
        </w:rPr>
        <w:t>Background</w:t>
      </w:r>
    </w:p>
    <w:p w:rsidR="007A1284" w:rsidRDefault="00A15AB7" w:rsidP="00A15AB7">
      <w:pPr>
        <w:pStyle w:val="KeinLeerraum"/>
        <w:jc w:val="both"/>
        <w:rPr>
          <w:lang w:val="en-GB"/>
        </w:rPr>
      </w:pPr>
      <w:r>
        <w:rPr>
          <w:lang w:val="en-GB"/>
        </w:rPr>
        <w:t xml:space="preserve">From </w:t>
      </w:r>
      <w:r w:rsidR="00A230E5">
        <w:rPr>
          <w:lang w:val="en-GB"/>
        </w:rPr>
        <w:t>broad surveys [1</w:t>
      </w:r>
      <w:r w:rsidR="007A1284">
        <w:rPr>
          <w:lang w:val="en-GB"/>
        </w:rPr>
        <w:t>], publications [</w:t>
      </w:r>
      <w:r w:rsidR="00A230E5">
        <w:rPr>
          <w:lang w:val="en-GB"/>
        </w:rPr>
        <w:t>2</w:t>
      </w:r>
      <w:proofErr w:type="gramStart"/>
      <w:r w:rsidR="00A230E5">
        <w:rPr>
          <w:lang w:val="en-GB"/>
        </w:rPr>
        <w:t>,3</w:t>
      </w:r>
      <w:proofErr w:type="gramEnd"/>
      <w:r w:rsidR="007A1284">
        <w:rPr>
          <w:lang w:val="en-GB"/>
        </w:rPr>
        <w:t xml:space="preserve">] and activities such as FAIR and </w:t>
      </w:r>
      <w:r w:rsidR="0082598C">
        <w:rPr>
          <w:lang w:val="en-GB"/>
        </w:rPr>
        <w:t>Research Data Alliance (</w:t>
      </w:r>
      <w:r w:rsidR="007A1284">
        <w:rPr>
          <w:lang w:val="en-GB"/>
        </w:rPr>
        <w:t>RDA</w:t>
      </w:r>
      <w:r w:rsidR="0082598C">
        <w:rPr>
          <w:lang w:val="en-GB"/>
        </w:rPr>
        <w:t>)</w:t>
      </w:r>
      <w:r w:rsidR="007A1284">
        <w:rPr>
          <w:lang w:val="en-GB"/>
        </w:rPr>
        <w:t xml:space="preserve"> (see annexes) a number of statements can be made about the inadequate</w:t>
      </w:r>
      <w:r w:rsidR="00A82933">
        <w:rPr>
          <w:lang w:val="en-GB"/>
        </w:rPr>
        <w:t xml:space="preserve"> approach</w:t>
      </w:r>
      <w:r w:rsidR="007A1284">
        <w:rPr>
          <w:lang w:val="en-GB"/>
        </w:rPr>
        <w:t xml:space="preserve"> we currently</w:t>
      </w:r>
      <w:r w:rsidR="00A82933">
        <w:rPr>
          <w:lang w:val="en-GB"/>
        </w:rPr>
        <w:t xml:space="preserve"> have for</w:t>
      </w:r>
      <w:r w:rsidR="007A1284">
        <w:rPr>
          <w:lang w:val="en-GB"/>
        </w:rPr>
        <w:t xml:space="preserve"> dealing with data:</w:t>
      </w:r>
    </w:p>
    <w:p w:rsidR="007A1284" w:rsidRDefault="007A1284" w:rsidP="007A1284">
      <w:pPr>
        <w:pStyle w:val="KeinLeerraum"/>
        <w:numPr>
          <w:ilvl w:val="0"/>
          <w:numId w:val="2"/>
        </w:numPr>
        <w:rPr>
          <w:lang w:val="en-GB"/>
        </w:rPr>
      </w:pPr>
      <w:r>
        <w:rPr>
          <w:lang w:val="en-GB"/>
        </w:rPr>
        <w:t xml:space="preserve">Working with data is too inefficient, </w:t>
      </w:r>
      <w:r w:rsidR="00773087">
        <w:rPr>
          <w:lang w:val="en-GB"/>
        </w:rPr>
        <w:t xml:space="preserve">too </w:t>
      </w:r>
      <w:r>
        <w:rPr>
          <w:lang w:val="en-GB"/>
        </w:rPr>
        <w:t xml:space="preserve">expensive and prevents many scientists and companies </w:t>
      </w:r>
      <w:r w:rsidR="00773087">
        <w:rPr>
          <w:lang w:val="en-GB"/>
        </w:rPr>
        <w:t>from</w:t>
      </w:r>
      <w:r>
        <w:rPr>
          <w:lang w:val="en-GB"/>
        </w:rPr>
        <w:t xml:space="preserve"> find</w:t>
      </w:r>
      <w:r w:rsidR="00773087">
        <w:rPr>
          <w:lang w:val="en-GB"/>
        </w:rPr>
        <w:t>ing</w:t>
      </w:r>
      <w:r>
        <w:rPr>
          <w:lang w:val="en-GB"/>
        </w:rPr>
        <w:t xml:space="preserve"> new insights and creat</w:t>
      </w:r>
      <w:r w:rsidR="00773087">
        <w:rPr>
          <w:lang w:val="en-GB"/>
        </w:rPr>
        <w:t>ing</w:t>
      </w:r>
      <w:r>
        <w:rPr>
          <w:lang w:val="en-GB"/>
        </w:rPr>
        <w:t xml:space="preserve"> new businesses.</w:t>
      </w:r>
    </w:p>
    <w:p w:rsidR="007A1284" w:rsidRDefault="007A1284" w:rsidP="007A1284">
      <w:pPr>
        <w:pStyle w:val="KeinLeerraum"/>
        <w:numPr>
          <w:ilvl w:val="0"/>
          <w:numId w:val="2"/>
        </w:numPr>
        <w:rPr>
          <w:lang w:val="en-GB"/>
        </w:rPr>
      </w:pPr>
      <w:r>
        <w:rPr>
          <w:lang w:val="en-GB"/>
        </w:rPr>
        <w:t xml:space="preserve">There are a huge number of information infrastructure initiatives that </w:t>
      </w:r>
      <w:r w:rsidR="006866E4">
        <w:rPr>
          <w:lang w:val="en-GB"/>
        </w:rPr>
        <w:t>all work on solutions for creating integrated and interoperable data and tool spaces within various domains.</w:t>
      </w:r>
    </w:p>
    <w:p w:rsidR="006866E4" w:rsidRDefault="006866E4" w:rsidP="007A1284">
      <w:pPr>
        <w:pStyle w:val="KeinLeerraum"/>
        <w:numPr>
          <w:ilvl w:val="0"/>
          <w:numId w:val="2"/>
        </w:numPr>
        <w:rPr>
          <w:lang w:val="en-GB"/>
        </w:rPr>
      </w:pPr>
      <w:r>
        <w:rPr>
          <w:lang w:val="en-GB"/>
        </w:rPr>
        <w:t xml:space="preserve">This approach of letting 1000 flowers blossom was </w:t>
      </w:r>
      <w:r w:rsidR="00773087">
        <w:rPr>
          <w:lang w:val="en-GB"/>
        </w:rPr>
        <w:t>useful in</w:t>
      </w:r>
      <w:r>
        <w:rPr>
          <w:lang w:val="en-GB"/>
        </w:rPr>
        <w:t xml:space="preserve"> includ</w:t>
      </w:r>
      <w:r w:rsidR="00773087">
        <w:rPr>
          <w:lang w:val="en-GB"/>
        </w:rPr>
        <w:t>ing</w:t>
      </w:r>
      <w:r>
        <w:rPr>
          <w:lang w:val="en-GB"/>
        </w:rPr>
        <w:t xml:space="preserve"> broad groups of researchers and technologists, but has </w:t>
      </w:r>
      <w:r w:rsidR="00773087">
        <w:rPr>
          <w:lang w:val="en-GB"/>
        </w:rPr>
        <w:t xml:space="preserve">had </w:t>
      </w:r>
      <w:r>
        <w:rPr>
          <w:lang w:val="en-GB"/>
        </w:rPr>
        <w:t>two negative side effects</w:t>
      </w:r>
    </w:p>
    <w:p w:rsidR="006866E4" w:rsidRDefault="006866E4" w:rsidP="006866E4">
      <w:pPr>
        <w:pStyle w:val="KeinLeerraum"/>
        <w:numPr>
          <w:ilvl w:val="1"/>
          <w:numId w:val="2"/>
        </w:numPr>
        <w:rPr>
          <w:lang w:val="en-GB"/>
        </w:rPr>
      </w:pPr>
      <w:r>
        <w:rPr>
          <w:lang w:val="en-GB"/>
        </w:rPr>
        <w:t>despite many interactions these initiatives work within their own agenda and create silo solutions</w:t>
      </w:r>
    </w:p>
    <w:p w:rsidR="006866E4" w:rsidRDefault="006866E4" w:rsidP="006866E4">
      <w:pPr>
        <w:pStyle w:val="KeinLeerraum"/>
        <w:numPr>
          <w:ilvl w:val="1"/>
          <w:numId w:val="2"/>
        </w:numPr>
        <w:rPr>
          <w:lang w:val="en-GB"/>
        </w:rPr>
      </w:pPr>
      <w:r>
        <w:rPr>
          <w:lang w:val="en-GB"/>
        </w:rPr>
        <w:t>the policy makers in government and science are confronted with a huge solution space hampering decision taking and thus fast progress on overcoming barriers</w:t>
      </w:r>
    </w:p>
    <w:p w:rsidR="006866E4" w:rsidRDefault="006866E4" w:rsidP="007A1284">
      <w:pPr>
        <w:pStyle w:val="KeinLeerraum"/>
        <w:numPr>
          <w:ilvl w:val="0"/>
          <w:numId w:val="2"/>
        </w:numPr>
        <w:rPr>
          <w:lang w:val="en-GB"/>
        </w:rPr>
      </w:pPr>
      <w:r>
        <w:rPr>
          <w:lang w:val="en-GB"/>
        </w:rPr>
        <w:t xml:space="preserve">There are many sociological and technical barriers preventing </w:t>
      </w:r>
      <w:r w:rsidR="00A15AB7">
        <w:rPr>
          <w:lang w:val="en-GB"/>
        </w:rPr>
        <w:t xml:space="preserve">efficient </w:t>
      </w:r>
      <w:r>
        <w:rPr>
          <w:lang w:val="en-GB"/>
        </w:rPr>
        <w:t>data sharing and re-use.</w:t>
      </w:r>
    </w:p>
    <w:p w:rsidR="007A1284" w:rsidRDefault="007A1284" w:rsidP="00A5135B">
      <w:pPr>
        <w:pStyle w:val="KeinLeerraum"/>
        <w:rPr>
          <w:lang w:val="en-GB"/>
        </w:rPr>
      </w:pPr>
    </w:p>
    <w:p w:rsidR="00A15AB7" w:rsidRDefault="006866E4" w:rsidP="00635DB3">
      <w:pPr>
        <w:pStyle w:val="KeinLeerraum"/>
        <w:jc w:val="both"/>
        <w:rPr>
          <w:lang w:val="en-GB"/>
        </w:rPr>
      </w:pPr>
      <w:r>
        <w:rPr>
          <w:lang w:val="en-GB"/>
        </w:rPr>
        <w:t xml:space="preserve">As a consequence a number of global initiatives started looking at common data principles such as </w:t>
      </w:r>
      <w:proofErr w:type="spellStart"/>
      <w:r>
        <w:rPr>
          <w:lang w:val="en-GB"/>
        </w:rPr>
        <w:t>G8</w:t>
      </w:r>
      <w:proofErr w:type="spellEnd"/>
      <w:r>
        <w:rPr>
          <w:lang w:val="en-GB"/>
        </w:rPr>
        <w:t xml:space="preserve">, FAIR/FORCE and the Nairobi Initiative. Stehouwer and </w:t>
      </w:r>
      <w:proofErr w:type="gramStart"/>
      <w:r>
        <w:rPr>
          <w:lang w:val="en-GB"/>
        </w:rPr>
        <w:t>Wittenburg</w:t>
      </w:r>
      <w:r w:rsidR="00A230E5">
        <w:rPr>
          <w:lang w:val="en-GB"/>
        </w:rPr>
        <w:t>[</w:t>
      </w:r>
      <w:proofErr w:type="gramEnd"/>
      <w:r w:rsidR="00A230E5">
        <w:rPr>
          <w:lang w:val="en-GB"/>
        </w:rPr>
        <w:t>4]</w:t>
      </w:r>
      <w:r>
        <w:rPr>
          <w:lang w:val="en-GB"/>
        </w:rPr>
        <w:t xml:space="preserve"> compared these principles and came to the conclusion that we b</w:t>
      </w:r>
      <w:r w:rsidR="00635DB3">
        <w:rPr>
          <w:lang w:val="en-GB"/>
        </w:rPr>
        <w:t xml:space="preserve">asically have the same messages </w:t>
      </w:r>
      <w:r w:rsidR="00A15AB7">
        <w:rPr>
          <w:lang w:val="en-GB"/>
        </w:rPr>
        <w:t xml:space="preserve">at an abstract level </w:t>
      </w:r>
      <w:r w:rsidR="00635DB3">
        <w:rPr>
          <w:lang w:val="en-GB"/>
        </w:rPr>
        <w:t xml:space="preserve">despite small differences in scope and wording. </w:t>
      </w:r>
      <w:r w:rsidR="00747AFA">
        <w:rPr>
          <w:lang w:val="en-GB"/>
        </w:rPr>
        <w:t>According to these principles we all share the view that data must be searchable/findable, accessible, understandable/interoperable/re-usable and manageable/</w:t>
      </w:r>
      <w:r w:rsidR="00A15AB7">
        <w:rPr>
          <w:lang w:val="en-GB"/>
        </w:rPr>
        <w:t xml:space="preserve"> </w:t>
      </w:r>
      <w:r w:rsidR="00747AFA">
        <w:rPr>
          <w:lang w:val="en-GB"/>
        </w:rPr>
        <w:t xml:space="preserve">persistent. It is excellent that at this abstract level we share the core messages </w:t>
      </w:r>
      <w:r w:rsidR="00A15AB7">
        <w:rPr>
          <w:lang w:val="en-GB"/>
        </w:rPr>
        <w:t>giving us</w:t>
      </w:r>
      <w:r w:rsidR="00747AFA">
        <w:rPr>
          <w:lang w:val="en-GB"/>
        </w:rPr>
        <w:t xml:space="preserve"> hope that these will help </w:t>
      </w:r>
      <w:r w:rsidR="00071B87">
        <w:rPr>
          <w:lang w:val="en-GB"/>
        </w:rPr>
        <w:t xml:space="preserve">in </w:t>
      </w:r>
      <w:r w:rsidR="00747AFA">
        <w:rPr>
          <w:lang w:val="en-GB"/>
        </w:rPr>
        <w:t xml:space="preserve">changing the culture of sharing. </w:t>
      </w:r>
    </w:p>
    <w:p w:rsidR="00A15AB7" w:rsidRDefault="00A15AB7" w:rsidP="00635DB3">
      <w:pPr>
        <w:pStyle w:val="KeinLeerraum"/>
        <w:jc w:val="both"/>
        <w:rPr>
          <w:lang w:val="en-GB"/>
        </w:rPr>
      </w:pPr>
    </w:p>
    <w:p w:rsidR="006866E4" w:rsidRDefault="00747AFA" w:rsidP="00635DB3">
      <w:pPr>
        <w:pStyle w:val="KeinLeerraum"/>
        <w:jc w:val="both"/>
        <w:rPr>
          <w:lang w:val="en-GB"/>
        </w:rPr>
      </w:pPr>
      <w:r>
        <w:rPr>
          <w:lang w:val="en-GB"/>
        </w:rPr>
        <w:t xml:space="preserve">We see </w:t>
      </w:r>
      <w:r w:rsidR="00A15AB7">
        <w:rPr>
          <w:lang w:val="en-GB"/>
        </w:rPr>
        <w:t>an urgent need</w:t>
      </w:r>
      <w:r>
        <w:rPr>
          <w:lang w:val="en-GB"/>
        </w:rPr>
        <w:t xml:space="preserve"> to stress </w:t>
      </w:r>
      <w:r w:rsidR="00A15AB7">
        <w:rPr>
          <w:lang w:val="en-GB"/>
        </w:rPr>
        <w:t xml:space="preserve">the </w:t>
      </w:r>
      <w:r>
        <w:rPr>
          <w:lang w:val="en-GB"/>
        </w:rPr>
        <w:t xml:space="preserve">agreements and </w:t>
      </w:r>
      <w:r w:rsidR="00A15AB7">
        <w:rPr>
          <w:lang w:val="en-GB"/>
        </w:rPr>
        <w:t>not to point to remaining</w:t>
      </w:r>
      <w:r>
        <w:rPr>
          <w:lang w:val="en-GB"/>
        </w:rPr>
        <w:t xml:space="preserve"> disagreements in </w:t>
      </w:r>
      <w:r w:rsidR="00A15AB7">
        <w:rPr>
          <w:lang w:val="en-GB"/>
        </w:rPr>
        <w:t>small</w:t>
      </w:r>
      <w:r>
        <w:rPr>
          <w:lang w:val="en-GB"/>
        </w:rPr>
        <w:t xml:space="preserve"> nuances, since this would confuse most of the scientists who are </w:t>
      </w:r>
      <w:r w:rsidR="00A15AB7">
        <w:rPr>
          <w:lang w:val="en-GB"/>
        </w:rPr>
        <w:t>not dealing with these aspects i</w:t>
      </w:r>
      <w:r>
        <w:rPr>
          <w:lang w:val="en-GB"/>
        </w:rPr>
        <w:t>n a daily manner</w:t>
      </w:r>
      <w:r w:rsidR="00A15AB7">
        <w:rPr>
          <w:lang w:val="en-GB"/>
        </w:rPr>
        <w:t xml:space="preserve"> and who are waiting for clear messages to feel safe </w:t>
      </w:r>
      <w:r w:rsidR="00077316">
        <w:rPr>
          <w:lang w:val="en-GB"/>
        </w:rPr>
        <w:t>in</w:t>
      </w:r>
      <w:r w:rsidR="00A15AB7">
        <w:rPr>
          <w:lang w:val="en-GB"/>
        </w:rPr>
        <w:t xml:space="preserve"> </w:t>
      </w:r>
      <w:r w:rsidR="00077316">
        <w:rPr>
          <w:lang w:val="en-GB"/>
        </w:rPr>
        <w:t>m</w:t>
      </w:r>
      <w:r w:rsidR="00A15AB7">
        <w:rPr>
          <w:lang w:val="en-GB"/>
        </w:rPr>
        <w:t>aking investments</w:t>
      </w:r>
      <w:r w:rsidR="00077316">
        <w:rPr>
          <w:lang w:val="en-GB"/>
        </w:rPr>
        <w:t xml:space="preserve"> of their time and resources</w:t>
      </w:r>
      <w:r>
        <w:rPr>
          <w:lang w:val="en-GB"/>
        </w:rPr>
        <w:t xml:space="preserve">. </w:t>
      </w:r>
    </w:p>
    <w:p w:rsidR="00747AFA" w:rsidRDefault="0082598C" w:rsidP="0082598C">
      <w:pPr>
        <w:pStyle w:val="berschrift1"/>
        <w:rPr>
          <w:lang w:val="en-GB"/>
        </w:rPr>
      </w:pPr>
      <w:r>
        <w:rPr>
          <w:lang w:val="en-GB"/>
        </w:rPr>
        <w:lastRenderedPageBreak/>
        <w:t>Recommendations</w:t>
      </w:r>
    </w:p>
    <w:p w:rsidR="0082598C" w:rsidRDefault="0082598C" w:rsidP="00635DB3">
      <w:pPr>
        <w:pStyle w:val="KeinLeerraum"/>
        <w:jc w:val="both"/>
        <w:rPr>
          <w:lang w:val="en-GB"/>
        </w:rPr>
      </w:pPr>
      <w:r>
        <w:rPr>
          <w:lang w:val="en-GB"/>
        </w:rPr>
        <w:t xml:space="preserve">However, we cannot stay at that level of abstraction and need to turn these </w:t>
      </w:r>
      <w:r w:rsidR="00A15AB7">
        <w:rPr>
          <w:lang w:val="en-GB"/>
        </w:rPr>
        <w:t xml:space="preserve">more abstract </w:t>
      </w:r>
      <w:r>
        <w:rPr>
          <w:lang w:val="en-GB"/>
        </w:rPr>
        <w:t>recommendations into more concrete recommendations. In particular the FAIR initiative and the Research Data Alliance are active</w:t>
      </w:r>
      <w:r w:rsidR="00077316">
        <w:rPr>
          <w:lang w:val="en-GB"/>
        </w:rPr>
        <w:t xml:space="preserve"> and relevant, although</w:t>
      </w:r>
      <w:r>
        <w:rPr>
          <w:lang w:val="en-GB"/>
        </w:rPr>
        <w:t xml:space="preserve"> coming from different starting points:</w:t>
      </w:r>
    </w:p>
    <w:p w:rsidR="0082598C" w:rsidRDefault="0082598C" w:rsidP="0082598C">
      <w:pPr>
        <w:pStyle w:val="KeinLeerraum"/>
        <w:numPr>
          <w:ilvl w:val="0"/>
          <w:numId w:val="3"/>
        </w:numPr>
        <w:jc w:val="both"/>
        <w:rPr>
          <w:lang w:val="en-GB"/>
        </w:rPr>
      </w:pPr>
      <w:r>
        <w:rPr>
          <w:lang w:val="en-GB"/>
        </w:rPr>
        <w:t xml:space="preserve">FAIR as an initiative within the world-wide bioinformatics domain where the huge investments and the need to use globally shared data and tools require fast </w:t>
      </w:r>
      <w:r w:rsidR="004507FA">
        <w:rPr>
          <w:lang w:val="en-GB"/>
        </w:rPr>
        <w:t>action</w:t>
      </w:r>
      <w:r>
        <w:rPr>
          <w:lang w:val="en-GB"/>
        </w:rPr>
        <w:t xml:space="preserve"> in converging on domain-wide agreements. </w:t>
      </w:r>
    </w:p>
    <w:p w:rsidR="0082598C" w:rsidRDefault="0082598C" w:rsidP="0082598C">
      <w:pPr>
        <w:pStyle w:val="KeinLeerraum"/>
        <w:numPr>
          <w:ilvl w:val="0"/>
          <w:numId w:val="3"/>
        </w:numPr>
        <w:jc w:val="both"/>
        <w:rPr>
          <w:lang w:val="en-GB"/>
        </w:rPr>
      </w:pPr>
      <w:r>
        <w:rPr>
          <w:lang w:val="en-GB"/>
        </w:rPr>
        <w:t>RDA as a global and cross-disciplinary initiative to overcome the many sociological and technological barriers that hamper improved data sharing and re-use.</w:t>
      </w:r>
    </w:p>
    <w:p w:rsidR="006866E4" w:rsidRPr="007A1284" w:rsidRDefault="006866E4" w:rsidP="00635DB3">
      <w:pPr>
        <w:pStyle w:val="KeinLeerraum"/>
        <w:jc w:val="both"/>
        <w:rPr>
          <w:lang w:val="en-GB"/>
        </w:rPr>
      </w:pPr>
    </w:p>
    <w:p w:rsidR="0055730E" w:rsidRPr="00747AFA" w:rsidRDefault="003161D2" w:rsidP="00E565F1">
      <w:pPr>
        <w:pStyle w:val="KeinLeerraum"/>
        <w:jc w:val="both"/>
        <w:rPr>
          <w:rFonts w:ascii="Calibri" w:hAnsi="Calibri" w:cs="Calibri"/>
          <w:color w:val="000000"/>
          <w:lang w:val="en-GB"/>
        </w:rPr>
      </w:pPr>
      <w:r>
        <w:rPr>
          <w:lang w:val="en-GB"/>
        </w:rPr>
        <w:t>Both share obviously similar goals although the approaches differ. RDA working and interest groups</w:t>
      </w:r>
      <w:r w:rsidR="004507FA">
        <w:rPr>
          <w:lang w:val="en-GB"/>
        </w:rPr>
        <w:t>,</w:t>
      </w:r>
      <w:r>
        <w:rPr>
          <w:lang w:val="en-GB"/>
        </w:rPr>
        <w:t xml:space="preserve"> in general</w:t>
      </w:r>
      <w:r w:rsidR="004507FA">
        <w:rPr>
          <w:lang w:val="en-GB"/>
        </w:rPr>
        <w:t>,</w:t>
      </w:r>
      <w:r>
        <w:rPr>
          <w:lang w:val="en-GB"/>
        </w:rPr>
        <w:t xml:space="preserve"> start from a large number of use cases from different disciplines and </w:t>
      </w:r>
      <w:r w:rsidR="00A15AB7">
        <w:rPr>
          <w:lang w:val="en-GB"/>
        </w:rPr>
        <w:t>countries</w:t>
      </w:r>
      <w:r>
        <w:rPr>
          <w:lang w:val="en-GB"/>
        </w:rPr>
        <w:t xml:space="preserve"> and try to </w:t>
      </w:r>
      <w:r w:rsidR="00A15AB7">
        <w:rPr>
          <w:lang w:val="en-GB"/>
        </w:rPr>
        <w:t>generalize</w:t>
      </w:r>
      <w:r>
        <w:rPr>
          <w:lang w:val="en-GB"/>
        </w:rPr>
        <w:t xml:space="preserve"> from these individual practices. </w:t>
      </w:r>
      <w:r w:rsidR="00D5642B">
        <w:rPr>
          <w:lang w:val="en-GB"/>
        </w:rPr>
        <w:t>Over</w:t>
      </w:r>
      <w:r w:rsidR="004507FA">
        <w:rPr>
          <w:lang w:val="en-GB"/>
        </w:rPr>
        <w:t>arching</w:t>
      </w:r>
      <w:r w:rsidR="00D5642B">
        <w:rPr>
          <w:lang w:val="en-GB"/>
        </w:rPr>
        <w:t xml:space="preserve"> groups such as </w:t>
      </w:r>
      <w:r w:rsidR="004507FA">
        <w:rPr>
          <w:lang w:val="en-GB"/>
        </w:rPr>
        <w:t xml:space="preserve">the </w:t>
      </w:r>
      <w:r w:rsidR="00D5642B">
        <w:rPr>
          <w:lang w:val="en-GB"/>
        </w:rPr>
        <w:t>Data Fabric</w:t>
      </w:r>
      <w:r w:rsidR="004507FA">
        <w:rPr>
          <w:lang w:val="en-GB"/>
        </w:rPr>
        <w:t xml:space="preserve"> Interest Group</w:t>
      </w:r>
      <w:r w:rsidR="00D5642B">
        <w:rPr>
          <w:lang w:val="en-GB"/>
        </w:rPr>
        <w:t xml:space="preserve"> and also the Technical Advisory Board bring the different outputs into a bigger picture and it is now agreed that much testing and adoption of RDA group outputs needs to take place to improve the outputs where necessary and to draw conclusions. After roughly 3 years </w:t>
      </w:r>
      <w:r w:rsidR="00E565F1">
        <w:rPr>
          <w:lang w:val="en-GB"/>
        </w:rPr>
        <w:t>we can observe quite a number of agreements emerging within the RDA community based on the intensive cross-disciplinary and global interactions.</w:t>
      </w:r>
    </w:p>
    <w:p w:rsidR="00A5135B" w:rsidRDefault="00A5135B" w:rsidP="00635DB3">
      <w:pPr>
        <w:pStyle w:val="KeinLeerraum"/>
        <w:jc w:val="both"/>
        <w:rPr>
          <w:lang w:val="en-GB"/>
        </w:rPr>
      </w:pPr>
    </w:p>
    <w:p w:rsidR="00E565F1" w:rsidRDefault="00E565F1" w:rsidP="00635DB3">
      <w:pPr>
        <w:pStyle w:val="KeinLeerraum"/>
        <w:jc w:val="both"/>
        <w:rPr>
          <w:lang w:val="en-GB"/>
        </w:rPr>
      </w:pPr>
      <w:r>
        <w:rPr>
          <w:lang w:val="en-GB"/>
        </w:rPr>
        <w:t>FAIR is a domain-based approach and the intensive discussions with</w:t>
      </w:r>
      <w:r w:rsidR="00A15AB7">
        <w:rPr>
          <w:lang w:val="en-GB"/>
        </w:rPr>
        <w:t>in</w:t>
      </w:r>
      <w:r>
        <w:rPr>
          <w:lang w:val="en-GB"/>
        </w:rPr>
        <w:t xml:space="preserve"> the domain, but also the interactions with many other initiatives resulted in increasingly detailed agreements.</w:t>
      </w:r>
      <w:r w:rsidR="00A15AB7">
        <w:rPr>
          <w:lang w:val="en-GB"/>
        </w:rPr>
        <w:t xml:space="preserve"> {</w:t>
      </w:r>
      <w:proofErr w:type="gramStart"/>
      <w:r w:rsidR="00A15AB7">
        <w:rPr>
          <w:lang w:val="en-GB"/>
        </w:rPr>
        <w:t>needs</w:t>
      </w:r>
      <w:proofErr w:type="gramEnd"/>
      <w:r w:rsidR="00A15AB7">
        <w:rPr>
          <w:lang w:val="en-GB"/>
        </w:rPr>
        <w:t xml:space="preserve"> to be worked out by </w:t>
      </w:r>
      <w:proofErr w:type="spellStart"/>
      <w:r w:rsidR="00A15AB7">
        <w:rPr>
          <w:lang w:val="en-GB"/>
        </w:rPr>
        <w:t>Barend</w:t>
      </w:r>
      <w:proofErr w:type="spellEnd"/>
      <w:r w:rsidR="00A15AB7">
        <w:rPr>
          <w:lang w:val="en-GB"/>
        </w:rPr>
        <w:t>, Michel, etc.}</w:t>
      </w:r>
    </w:p>
    <w:p w:rsidR="001820B5" w:rsidRDefault="001820B5" w:rsidP="00635DB3">
      <w:pPr>
        <w:pStyle w:val="KeinLeerraum"/>
        <w:jc w:val="both"/>
        <w:rPr>
          <w:lang w:val="en-GB"/>
        </w:rPr>
      </w:pPr>
    </w:p>
    <w:p w:rsidR="00E565F1" w:rsidRPr="00747AFA" w:rsidRDefault="00E565F1" w:rsidP="00635DB3">
      <w:pPr>
        <w:pStyle w:val="KeinLeerraum"/>
        <w:jc w:val="both"/>
        <w:rPr>
          <w:lang w:val="en-GB"/>
        </w:rPr>
      </w:pPr>
      <w:r>
        <w:rPr>
          <w:lang w:val="en-GB"/>
        </w:rPr>
        <w:t xml:space="preserve">This paper </w:t>
      </w:r>
      <w:r w:rsidR="004507FA">
        <w:rPr>
          <w:lang w:val="en-GB"/>
        </w:rPr>
        <w:t xml:space="preserve">aims </w:t>
      </w:r>
      <w:r>
        <w:rPr>
          <w:lang w:val="en-GB"/>
        </w:rPr>
        <w:t xml:space="preserve">to </w:t>
      </w:r>
      <w:r w:rsidR="004507FA">
        <w:rPr>
          <w:lang w:val="en-GB"/>
        </w:rPr>
        <w:t>show</w:t>
      </w:r>
      <w:r>
        <w:rPr>
          <w:lang w:val="en-GB"/>
        </w:rPr>
        <w:t xml:space="preserve"> the relations</w:t>
      </w:r>
      <w:r w:rsidR="00662958">
        <w:rPr>
          <w:lang w:val="en-GB"/>
        </w:rPr>
        <w:t>hips</w:t>
      </w:r>
      <w:r>
        <w:rPr>
          <w:lang w:val="en-GB"/>
        </w:rPr>
        <w:t xml:space="preserve"> between the </w:t>
      </w:r>
      <w:r w:rsidR="00662958">
        <w:rPr>
          <w:lang w:val="en-GB"/>
        </w:rPr>
        <w:t>statements of these two initiative</w:t>
      </w:r>
      <w:r w:rsidR="004507FA">
        <w:rPr>
          <w:lang w:val="en-GB"/>
        </w:rPr>
        <w:t>s</w:t>
      </w:r>
      <w:r>
        <w:rPr>
          <w:lang w:val="en-GB"/>
        </w:rPr>
        <w:t xml:space="preserve">. </w:t>
      </w:r>
      <w:r w:rsidR="004507FA">
        <w:rPr>
          <w:lang w:val="en-GB"/>
        </w:rPr>
        <w:t>For</w:t>
      </w:r>
      <w:r>
        <w:rPr>
          <w:lang w:val="en-GB"/>
        </w:rPr>
        <w:t xml:space="preserve"> RDA we primarily refer to the results of the Data Foundation &amp; Terminology (see annex B) and Data Fabric Groups, but also </w:t>
      </w:r>
      <w:r w:rsidR="00EF3987">
        <w:rPr>
          <w:lang w:val="en-GB"/>
        </w:rPr>
        <w:t>note</w:t>
      </w:r>
      <w:r>
        <w:rPr>
          <w:lang w:val="en-GB"/>
        </w:rPr>
        <w:t xml:space="preserve"> other </w:t>
      </w:r>
      <w:r w:rsidR="00EF3987">
        <w:rPr>
          <w:lang w:val="en-GB"/>
        </w:rPr>
        <w:t xml:space="preserve">relevant RDA </w:t>
      </w:r>
      <w:r>
        <w:rPr>
          <w:lang w:val="en-GB"/>
        </w:rPr>
        <w:t xml:space="preserve">groups </w:t>
      </w:r>
      <w:r w:rsidR="00EF3987">
        <w:rPr>
          <w:lang w:val="en-GB"/>
        </w:rPr>
        <w:t>as appropriate</w:t>
      </w:r>
      <w:r>
        <w:rPr>
          <w:lang w:val="en-GB"/>
        </w:rPr>
        <w:t>.</w:t>
      </w:r>
      <w:r w:rsidR="00287ADB">
        <w:rPr>
          <w:lang w:val="en-GB"/>
        </w:rPr>
        <w:t xml:space="preserve"> We take the FAIR statements as</w:t>
      </w:r>
      <w:r w:rsidR="00EF3987">
        <w:rPr>
          <w:lang w:val="en-GB"/>
        </w:rPr>
        <w:t xml:space="preserve"> the</w:t>
      </w:r>
      <w:r w:rsidR="00287ADB">
        <w:rPr>
          <w:lang w:val="en-GB"/>
        </w:rPr>
        <w:t xml:space="preserve"> starting point, </w:t>
      </w:r>
      <w:r w:rsidR="00EF3987">
        <w:rPr>
          <w:lang w:val="en-GB"/>
        </w:rPr>
        <w:t xml:space="preserve">as </w:t>
      </w:r>
      <w:r w:rsidR="00287ADB">
        <w:rPr>
          <w:lang w:val="en-GB"/>
        </w:rPr>
        <w:t xml:space="preserve">it is not easy to do it the other way round since RDA has </w:t>
      </w:r>
      <w:r w:rsidR="00662958">
        <w:rPr>
          <w:lang w:val="en-GB"/>
        </w:rPr>
        <w:t>various</w:t>
      </w:r>
      <w:r w:rsidR="00287ADB">
        <w:rPr>
          <w:lang w:val="en-GB"/>
        </w:rPr>
        <w:t xml:space="preserve"> results</w:t>
      </w:r>
      <w:r w:rsidR="00662958">
        <w:rPr>
          <w:lang w:val="en-GB"/>
        </w:rPr>
        <w:t xml:space="preserve"> </w:t>
      </w:r>
      <w:r w:rsidR="00EF3987">
        <w:rPr>
          <w:lang w:val="en-GB"/>
        </w:rPr>
        <w:t>outside of the scope of the</w:t>
      </w:r>
      <w:r w:rsidR="00662958">
        <w:rPr>
          <w:lang w:val="en-GB"/>
        </w:rPr>
        <w:t xml:space="preserve"> FAIR statements</w:t>
      </w:r>
      <w:r w:rsidR="00287ADB">
        <w:rPr>
          <w:lang w:val="en-GB"/>
        </w:rPr>
        <w:t xml:space="preserve">. </w:t>
      </w:r>
    </w:p>
    <w:p w:rsidR="00A5135B" w:rsidRPr="00747AFA" w:rsidRDefault="00A5135B" w:rsidP="00635DB3">
      <w:pPr>
        <w:pStyle w:val="KeinLeerraum"/>
        <w:jc w:val="both"/>
        <w:rPr>
          <w:lang w:val="en-GB"/>
        </w:rPr>
      </w:pPr>
    </w:p>
    <w:tbl>
      <w:tblPr>
        <w:tblStyle w:val="Tabellenraster"/>
        <w:tblW w:w="0" w:type="auto"/>
        <w:jc w:val="center"/>
        <w:tblLook w:val="04A0" w:firstRow="1" w:lastRow="0" w:firstColumn="1" w:lastColumn="0" w:noHBand="0" w:noVBand="1"/>
      </w:tblPr>
      <w:tblGrid>
        <w:gridCol w:w="2518"/>
        <w:gridCol w:w="2835"/>
        <w:gridCol w:w="4002"/>
      </w:tblGrid>
      <w:tr w:rsidR="00E565F1" w:rsidRPr="00E565F1">
        <w:trPr>
          <w:jc w:val="center"/>
        </w:trPr>
        <w:tc>
          <w:tcPr>
            <w:tcW w:w="2518" w:type="dxa"/>
            <w:shd w:val="clear" w:color="auto" w:fill="D9D9D9" w:themeFill="background1" w:themeFillShade="D9"/>
          </w:tcPr>
          <w:p w:rsidR="00E565F1" w:rsidRPr="00E565F1" w:rsidRDefault="00E565F1" w:rsidP="00635DB3">
            <w:pPr>
              <w:pStyle w:val="KeinLeerraum"/>
              <w:jc w:val="both"/>
              <w:rPr>
                <w:sz w:val="20"/>
                <w:szCs w:val="20"/>
                <w:lang w:val="en-GB"/>
              </w:rPr>
            </w:pPr>
            <w:r w:rsidRPr="00E565F1">
              <w:rPr>
                <w:sz w:val="20"/>
                <w:szCs w:val="20"/>
                <w:lang w:val="en-GB"/>
              </w:rPr>
              <w:t>FAIR Statement</w:t>
            </w:r>
          </w:p>
        </w:tc>
        <w:tc>
          <w:tcPr>
            <w:tcW w:w="2835" w:type="dxa"/>
            <w:shd w:val="clear" w:color="auto" w:fill="D9D9D9" w:themeFill="background1" w:themeFillShade="D9"/>
          </w:tcPr>
          <w:p w:rsidR="00E565F1" w:rsidRPr="00E565F1" w:rsidRDefault="00E565F1" w:rsidP="00635DB3">
            <w:pPr>
              <w:pStyle w:val="KeinLeerraum"/>
              <w:jc w:val="both"/>
              <w:rPr>
                <w:sz w:val="20"/>
                <w:szCs w:val="20"/>
                <w:lang w:val="en-GB"/>
              </w:rPr>
            </w:pPr>
            <w:r w:rsidRPr="00E565F1">
              <w:rPr>
                <w:sz w:val="20"/>
                <w:szCs w:val="20"/>
                <w:lang w:val="en-GB"/>
              </w:rPr>
              <w:t>RDA Statement</w:t>
            </w:r>
          </w:p>
        </w:tc>
        <w:tc>
          <w:tcPr>
            <w:tcW w:w="4002" w:type="dxa"/>
            <w:shd w:val="clear" w:color="auto" w:fill="D9D9D9" w:themeFill="background1" w:themeFillShade="D9"/>
          </w:tcPr>
          <w:p w:rsidR="00E565F1" w:rsidRPr="00E565F1" w:rsidRDefault="00E565F1" w:rsidP="00635DB3">
            <w:pPr>
              <w:pStyle w:val="KeinLeerraum"/>
              <w:jc w:val="both"/>
              <w:rPr>
                <w:sz w:val="20"/>
                <w:szCs w:val="20"/>
                <w:lang w:val="en-GB"/>
              </w:rPr>
            </w:pPr>
            <w:r w:rsidRPr="00E565F1">
              <w:rPr>
                <w:sz w:val="20"/>
                <w:szCs w:val="20"/>
                <w:lang w:val="en-GB"/>
              </w:rPr>
              <w:t>Comment</w:t>
            </w:r>
          </w:p>
        </w:tc>
      </w:tr>
      <w:tr w:rsidR="00E565F1" w:rsidRPr="006208E6">
        <w:trPr>
          <w:jc w:val="center"/>
        </w:trPr>
        <w:tc>
          <w:tcPr>
            <w:tcW w:w="2518" w:type="dxa"/>
            <w:vAlign w:val="center"/>
          </w:tcPr>
          <w:p w:rsidR="00E565F1" w:rsidRPr="00E565F1" w:rsidRDefault="00E565F1" w:rsidP="00F47645">
            <w:pPr>
              <w:pStyle w:val="KeinLeerraum"/>
              <w:rPr>
                <w:sz w:val="20"/>
                <w:szCs w:val="20"/>
                <w:lang w:val="en-GB"/>
              </w:rPr>
            </w:pPr>
            <w:r w:rsidRPr="00E565F1">
              <w:rPr>
                <w:sz w:val="20"/>
                <w:szCs w:val="20"/>
                <w:lang w:val="en-GB"/>
              </w:rPr>
              <w:t>(</w:t>
            </w:r>
            <w:proofErr w:type="gramStart"/>
            <w:r w:rsidRPr="00E565F1">
              <w:rPr>
                <w:sz w:val="20"/>
                <w:szCs w:val="20"/>
                <w:lang w:val="en-GB"/>
              </w:rPr>
              <w:t>meta</w:t>
            </w:r>
            <w:proofErr w:type="gramEnd"/>
            <w:r w:rsidRPr="00E565F1">
              <w:rPr>
                <w:sz w:val="20"/>
                <w:szCs w:val="20"/>
                <w:lang w:val="en-GB"/>
              </w:rPr>
              <w:t>) data</w:t>
            </w:r>
            <w:r w:rsidR="001820B5">
              <w:rPr>
                <w:rStyle w:val="Funotenzeichen"/>
                <w:sz w:val="20"/>
                <w:szCs w:val="20"/>
                <w:lang w:val="en-GB"/>
              </w:rPr>
              <w:footnoteReference w:id="1"/>
            </w:r>
            <w:r w:rsidR="00F47645">
              <w:rPr>
                <w:sz w:val="20"/>
                <w:szCs w:val="20"/>
                <w:lang w:val="en-GB"/>
              </w:rPr>
              <w:t xml:space="preserve"> </w:t>
            </w:r>
            <w:r w:rsidRPr="00E565F1">
              <w:rPr>
                <w:sz w:val="20"/>
                <w:szCs w:val="20"/>
                <w:lang w:val="en-GB"/>
              </w:rPr>
              <w:t>are assigned a globally unique and eternally persistent identifier</w:t>
            </w:r>
            <w:r w:rsidR="0004692B">
              <w:rPr>
                <w:sz w:val="20"/>
                <w:szCs w:val="20"/>
                <w:lang w:val="en-GB"/>
              </w:rPr>
              <w:t>.</w:t>
            </w:r>
          </w:p>
        </w:tc>
        <w:tc>
          <w:tcPr>
            <w:tcW w:w="2835" w:type="dxa"/>
            <w:vAlign w:val="center"/>
          </w:tcPr>
          <w:p w:rsidR="00E565F1" w:rsidRPr="00E565F1" w:rsidRDefault="00E565F1" w:rsidP="00662958">
            <w:pPr>
              <w:pStyle w:val="KeinLeerraum"/>
              <w:rPr>
                <w:sz w:val="20"/>
                <w:szCs w:val="20"/>
                <w:lang w:val="en-GB"/>
              </w:rPr>
            </w:pPr>
            <w:r w:rsidRPr="00E565F1">
              <w:rPr>
                <w:sz w:val="20"/>
                <w:szCs w:val="20"/>
                <w:lang w:val="en-GB"/>
              </w:rPr>
              <w:t xml:space="preserve">A Digital Object (DO) is referenced and identified by a persistent identifier. Metadata </w:t>
            </w:r>
            <w:r w:rsidR="00662958">
              <w:rPr>
                <w:sz w:val="20"/>
                <w:szCs w:val="20"/>
                <w:lang w:val="en-GB"/>
              </w:rPr>
              <w:t>descriptions and c</w:t>
            </w:r>
            <w:r w:rsidRPr="00E565F1">
              <w:rPr>
                <w:sz w:val="20"/>
                <w:szCs w:val="20"/>
                <w:lang w:val="en-GB"/>
              </w:rPr>
              <w:t xml:space="preserve">ollections are </w:t>
            </w:r>
            <w:proofErr w:type="spellStart"/>
            <w:r w:rsidRPr="00E565F1">
              <w:rPr>
                <w:sz w:val="20"/>
                <w:szCs w:val="20"/>
                <w:lang w:val="en-GB"/>
              </w:rPr>
              <w:t>DOs</w:t>
            </w:r>
            <w:proofErr w:type="spellEnd"/>
            <w:r w:rsidR="00662958">
              <w:rPr>
                <w:sz w:val="20"/>
                <w:szCs w:val="20"/>
                <w:lang w:val="en-GB"/>
              </w:rPr>
              <w:t xml:space="preserve"> as well</w:t>
            </w:r>
            <w:r w:rsidRPr="00E565F1">
              <w:rPr>
                <w:sz w:val="20"/>
                <w:szCs w:val="20"/>
                <w:lang w:val="en-GB"/>
              </w:rPr>
              <w:t>.</w:t>
            </w:r>
          </w:p>
        </w:tc>
        <w:tc>
          <w:tcPr>
            <w:tcW w:w="4002" w:type="dxa"/>
            <w:vAlign w:val="center"/>
          </w:tcPr>
          <w:p w:rsidR="00E565F1" w:rsidRPr="00E565F1" w:rsidRDefault="00E565F1" w:rsidP="00662958">
            <w:pPr>
              <w:pStyle w:val="KeinLeerraum"/>
              <w:rPr>
                <w:sz w:val="20"/>
                <w:szCs w:val="20"/>
                <w:lang w:val="en-GB"/>
              </w:rPr>
            </w:pPr>
            <w:r>
              <w:rPr>
                <w:sz w:val="20"/>
                <w:szCs w:val="20"/>
                <w:lang w:val="en-GB"/>
              </w:rPr>
              <w:t xml:space="preserve">FAIR speaks about “unique” </w:t>
            </w:r>
            <w:proofErr w:type="spellStart"/>
            <w:r>
              <w:rPr>
                <w:sz w:val="20"/>
                <w:szCs w:val="20"/>
                <w:lang w:val="en-GB"/>
              </w:rPr>
              <w:t>PIDs</w:t>
            </w:r>
            <w:proofErr w:type="spellEnd"/>
            <w:r>
              <w:rPr>
                <w:sz w:val="20"/>
                <w:szCs w:val="20"/>
                <w:lang w:val="en-GB"/>
              </w:rPr>
              <w:t xml:space="preserve"> </w:t>
            </w:r>
            <w:r w:rsidR="00662958">
              <w:rPr>
                <w:sz w:val="20"/>
                <w:szCs w:val="20"/>
                <w:lang w:val="en-GB"/>
              </w:rPr>
              <w:t xml:space="preserve">while RDA assumes </w:t>
            </w:r>
            <w:proofErr w:type="spellStart"/>
            <w:r w:rsidR="00662958">
              <w:rPr>
                <w:sz w:val="20"/>
                <w:szCs w:val="20"/>
                <w:lang w:val="en-GB"/>
              </w:rPr>
              <w:t>PIDs</w:t>
            </w:r>
            <w:proofErr w:type="spellEnd"/>
            <w:r w:rsidR="00662958">
              <w:rPr>
                <w:sz w:val="20"/>
                <w:szCs w:val="20"/>
                <w:lang w:val="en-GB"/>
              </w:rPr>
              <w:t xml:space="preserve"> to be </w:t>
            </w:r>
            <w:proofErr w:type="spellStart"/>
            <w:r w:rsidR="00662958">
              <w:rPr>
                <w:sz w:val="20"/>
                <w:szCs w:val="20"/>
                <w:lang w:val="en-GB"/>
              </w:rPr>
              <w:t>unqiue</w:t>
            </w:r>
            <w:proofErr w:type="spellEnd"/>
            <w:r>
              <w:rPr>
                <w:sz w:val="20"/>
                <w:szCs w:val="20"/>
                <w:lang w:val="en-GB"/>
              </w:rPr>
              <w:t xml:space="preserve">. RDA does not make a difference between various types of </w:t>
            </w:r>
            <w:proofErr w:type="spellStart"/>
            <w:r>
              <w:rPr>
                <w:sz w:val="20"/>
                <w:szCs w:val="20"/>
                <w:lang w:val="en-GB"/>
              </w:rPr>
              <w:t>DOs</w:t>
            </w:r>
            <w:proofErr w:type="spellEnd"/>
            <w:r>
              <w:rPr>
                <w:sz w:val="20"/>
                <w:szCs w:val="20"/>
                <w:lang w:val="en-GB"/>
              </w:rPr>
              <w:t>.</w:t>
            </w:r>
            <w:r w:rsidR="00662958">
              <w:rPr>
                <w:sz w:val="20"/>
                <w:szCs w:val="20"/>
                <w:lang w:val="en-GB"/>
              </w:rPr>
              <w:t xml:space="preserve"> But since metadata descriptions are </w:t>
            </w:r>
            <w:proofErr w:type="spellStart"/>
            <w:r w:rsidR="00662958">
              <w:rPr>
                <w:sz w:val="20"/>
                <w:szCs w:val="20"/>
                <w:lang w:val="en-GB"/>
              </w:rPr>
              <w:t>DOs</w:t>
            </w:r>
            <w:proofErr w:type="spellEnd"/>
            <w:r w:rsidR="00662958">
              <w:rPr>
                <w:sz w:val="20"/>
                <w:szCs w:val="20"/>
                <w:lang w:val="en-GB"/>
              </w:rPr>
              <w:t xml:space="preserve"> the statements are overlapping.</w:t>
            </w:r>
          </w:p>
        </w:tc>
      </w:tr>
      <w:tr w:rsidR="00E565F1" w:rsidRPr="006208E6">
        <w:trPr>
          <w:jc w:val="center"/>
        </w:trPr>
        <w:tc>
          <w:tcPr>
            <w:tcW w:w="2518" w:type="dxa"/>
            <w:vAlign w:val="center"/>
          </w:tcPr>
          <w:p w:rsidR="00E565F1" w:rsidRPr="00E565F1" w:rsidRDefault="0004692B" w:rsidP="0004692B">
            <w:pPr>
              <w:pStyle w:val="KeinLeerraum"/>
              <w:rPr>
                <w:sz w:val="20"/>
                <w:szCs w:val="20"/>
                <w:lang w:val="en-GB"/>
              </w:rPr>
            </w:pPr>
            <w:proofErr w:type="gramStart"/>
            <w:r>
              <w:rPr>
                <w:sz w:val="20"/>
                <w:szCs w:val="20"/>
                <w:lang w:val="en-GB"/>
              </w:rPr>
              <w:t>data</w:t>
            </w:r>
            <w:proofErr w:type="gramEnd"/>
            <w:r>
              <w:rPr>
                <w:sz w:val="20"/>
                <w:szCs w:val="20"/>
                <w:lang w:val="en-GB"/>
              </w:rPr>
              <w:t xml:space="preserve"> are described with rich metadata.</w:t>
            </w:r>
          </w:p>
        </w:tc>
        <w:tc>
          <w:tcPr>
            <w:tcW w:w="2835" w:type="dxa"/>
            <w:vAlign w:val="center"/>
          </w:tcPr>
          <w:p w:rsidR="00E565F1" w:rsidRPr="00E565F1" w:rsidRDefault="0004692B" w:rsidP="0004692B">
            <w:pPr>
              <w:pStyle w:val="KeinLeerraum"/>
              <w:rPr>
                <w:sz w:val="20"/>
                <w:szCs w:val="20"/>
                <w:lang w:val="en-GB"/>
              </w:rPr>
            </w:pPr>
            <w:r>
              <w:rPr>
                <w:sz w:val="20"/>
                <w:szCs w:val="20"/>
                <w:lang w:val="en-GB"/>
              </w:rPr>
              <w:t>A Digital Object has properties that are described by metadata.</w:t>
            </w:r>
          </w:p>
        </w:tc>
        <w:tc>
          <w:tcPr>
            <w:tcW w:w="4002" w:type="dxa"/>
            <w:vAlign w:val="center"/>
          </w:tcPr>
          <w:p w:rsidR="00E565F1" w:rsidRPr="00E565F1" w:rsidRDefault="0004692B" w:rsidP="0004692B">
            <w:pPr>
              <w:pStyle w:val="KeinLeerraum"/>
              <w:rPr>
                <w:sz w:val="20"/>
                <w:szCs w:val="20"/>
                <w:lang w:val="en-GB"/>
              </w:rPr>
            </w:pPr>
            <w:r>
              <w:rPr>
                <w:sz w:val="20"/>
                <w:szCs w:val="20"/>
                <w:lang w:val="en-GB"/>
              </w:rPr>
              <w:t xml:space="preserve">FAIR is adding the adjective “rich” </w:t>
            </w:r>
            <w:proofErr w:type="gramStart"/>
            <w:r>
              <w:rPr>
                <w:sz w:val="20"/>
                <w:szCs w:val="20"/>
                <w:lang w:val="en-GB"/>
              </w:rPr>
              <w:t>which</w:t>
            </w:r>
            <w:proofErr w:type="gramEnd"/>
            <w:r>
              <w:rPr>
                <w:sz w:val="20"/>
                <w:szCs w:val="20"/>
                <w:lang w:val="en-GB"/>
              </w:rPr>
              <w:t xml:space="preserve"> is hoped for by everyone</w:t>
            </w:r>
            <w:r w:rsidR="00662958">
              <w:rPr>
                <w:sz w:val="20"/>
                <w:szCs w:val="20"/>
                <w:lang w:val="en-GB"/>
              </w:rPr>
              <w:t xml:space="preserve"> in particular since otherwise machines will not be able to interpret them</w:t>
            </w:r>
            <w:r>
              <w:rPr>
                <w:sz w:val="20"/>
                <w:szCs w:val="20"/>
                <w:lang w:val="en-GB"/>
              </w:rPr>
              <w:t>.</w:t>
            </w:r>
          </w:p>
        </w:tc>
      </w:tr>
      <w:tr w:rsidR="00E565F1" w:rsidRPr="006208E6">
        <w:trPr>
          <w:jc w:val="center"/>
        </w:trPr>
        <w:tc>
          <w:tcPr>
            <w:tcW w:w="2518" w:type="dxa"/>
            <w:vAlign w:val="center"/>
          </w:tcPr>
          <w:p w:rsidR="00E565F1" w:rsidRPr="00E565F1" w:rsidRDefault="0004692B" w:rsidP="0004692B">
            <w:pPr>
              <w:pStyle w:val="KeinLeerraum"/>
              <w:rPr>
                <w:sz w:val="20"/>
                <w:szCs w:val="20"/>
                <w:lang w:val="en-GB"/>
              </w:rPr>
            </w:pPr>
            <w:r>
              <w:rPr>
                <w:sz w:val="20"/>
                <w:szCs w:val="20"/>
                <w:lang w:val="en-GB"/>
              </w:rPr>
              <w:t>(</w:t>
            </w:r>
            <w:proofErr w:type="gramStart"/>
            <w:r>
              <w:rPr>
                <w:sz w:val="20"/>
                <w:szCs w:val="20"/>
                <w:lang w:val="en-GB"/>
              </w:rPr>
              <w:t>meta</w:t>
            </w:r>
            <w:proofErr w:type="gramEnd"/>
            <w:r>
              <w:rPr>
                <w:sz w:val="20"/>
                <w:szCs w:val="20"/>
                <w:lang w:val="en-GB"/>
              </w:rPr>
              <w:t>) data are registered or indexed in a searchable resource.</w:t>
            </w:r>
          </w:p>
        </w:tc>
        <w:tc>
          <w:tcPr>
            <w:tcW w:w="2835" w:type="dxa"/>
            <w:vAlign w:val="center"/>
          </w:tcPr>
          <w:p w:rsidR="00E565F1" w:rsidRPr="00E565F1" w:rsidRDefault="0004692B" w:rsidP="0004692B">
            <w:pPr>
              <w:pStyle w:val="KeinLeerraum"/>
              <w:rPr>
                <w:sz w:val="20"/>
                <w:szCs w:val="20"/>
                <w:lang w:val="en-GB"/>
              </w:rPr>
            </w:pPr>
            <w:proofErr w:type="spellStart"/>
            <w:r>
              <w:rPr>
                <w:sz w:val="20"/>
                <w:szCs w:val="20"/>
                <w:lang w:val="en-GB"/>
              </w:rPr>
              <w:t>DOs</w:t>
            </w:r>
            <w:proofErr w:type="spellEnd"/>
            <w:r>
              <w:rPr>
                <w:sz w:val="20"/>
                <w:szCs w:val="20"/>
                <w:lang w:val="en-GB"/>
              </w:rPr>
              <w:t xml:space="preserve"> have </w:t>
            </w:r>
            <w:proofErr w:type="spellStart"/>
            <w:r>
              <w:rPr>
                <w:sz w:val="20"/>
                <w:szCs w:val="20"/>
                <w:lang w:val="en-GB"/>
              </w:rPr>
              <w:t>bitstreams</w:t>
            </w:r>
            <w:proofErr w:type="spellEnd"/>
            <w:r>
              <w:rPr>
                <w:sz w:val="20"/>
                <w:szCs w:val="20"/>
                <w:lang w:val="en-GB"/>
              </w:rPr>
              <w:t xml:space="preserve"> that are stored in repositories. Metadata descriptions are stored in metadata repositories.</w:t>
            </w:r>
          </w:p>
        </w:tc>
        <w:tc>
          <w:tcPr>
            <w:tcW w:w="4002" w:type="dxa"/>
            <w:vAlign w:val="center"/>
          </w:tcPr>
          <w:p w:rsidR="00E565F1" w:rsidRPr="00E565F1" w:rsidRDefault="0004692B" w:rsidP="00662958">
            <w:pPr>
              <w:pStyle w:val="KeinLeerraum"/>
              <w:rPr>
                <w:sz w:val="20"/>
                <w:szCs w:val="20"/>
                <w:lang w:val="en-GB"/>
              </w:rPr>
            </w:pPr>
            <w:r>
              <w:rPr>
                <w:sz w:val="20"/>
                <w:szCs w:val="20"/>
                <w:lang w:val="en-GB"/>
              </w:rPr>
              <w:t xml:space="preserve">RDA makes a difference between data and metadata repositories, since often data and metadata are treated differently. </w:t>
            </w:r>
            <w:r w:rsidR="00662958">
              <w:rPr>
                <w:sz w:val="20"/>
                <w:szCs w:val="20"/>
                <w:lang w:val="en-GB"/>
              </w:rPr>
              <w:t>Often metadata and data are maintained by the same repository</w:t>
            </w:r>
            <w:r>
              <w:rPr>
                <w:sz w:val="20"/>
                <w:szCs w:val="20"/>
                <w:lang w:val="en-GB"/>
              </w:rPr>
              <w:t xml:space="preserve">. </w:t>
            </w:r>
            <w:r w:rsidR="00287ADB">
              <w:rPr>
                <w:sz w:val="20"/>
                <w:szCs w:val="20"/>
                <w:lang w:val="en-GB"/>
              </w:rPr>
              <w:t xml:space="preserve">Registries are </w:t>
            </w:r>
            <w:r w:rsidR="00662958">
              <w:rPr>
                <w:sz w:val="20"/>
                <w:szCs w:val="20"/>
                <w:lang w:val="en-GB"/>
              </w:rPr>
              <w:t xml:space="preserve">built up by </w:t>
            </w:r>
            <w:r w:rsidR="00287ADB">
              <w:rPr>
                <w:sz w:val="20"/>
                <w:szCs w:val="20"/>
                <w:lang w:val="en-GB"/>
              </w:rPr>
              <w:t>services providers aggregating metadata and providing search facilities.</w:t>
            </w:r>
          </w:p>
        </w:tc>
      </w:tr>
      <w:tr w:rsidR="00E565F1" w:rsidRPr="006208E6">
        <w:trPr>
          <w:jc w:val="center"/>
        </w:trPr>
        <w:tc>
          <w:tcPr>
            <w:tcW w:w="2518" w:type="dxa"/>
            <w:vAlign w:val="center"/>
          </w:tcPr>
          <w:p w:rsidR="00E565F1" w:rsidRPr="00E565F1" w:rsidRDefault="0004692B" w:rsidP="0004692B">
            <w:pPr>
              <w:pStyle w:val="KeinLeerraum"/>
              <w:rPr>
                <w:sz w:val="20"/>
                <w:szCs w:val="20"/>
                <w:lang w:val="en-GB"/>
              </w:rPr>
            </w:pPr>
            <w:proofErr w:type="gramStart"/>
            <w:r>
              <w:rPr>
                <w:sz w:val="20"/>
                <w:szCs w:val="20"/>
                <w:lang w:val="en-GB"/>
              </w:rPr>
              <w:t>metadata</w:t>
            </w:r>
            <w:proofErr w:type="gramEnd"/>
            <w:r>
              <w:rPr>
                <w:sz w:val="20"/>
                <w:szCs w:val="20"/>
                <w:lang w:val="en-GB"/>
              </w:rPr>
              <w:t xml:space="preserve"> specify the data identifier</w:t>
            </w:r>
            <w:r w:rsidR="00287ADB">
              <w:rPr>
                <w:sz w:val="20"/>
                <w:szCs w:val="20"/>
                <w:lang w:val="en-GB"/>
              </w:rPr>
              <w:t>.</w:t>
            </w:r>
          </w:p>
        </w:tc>
        <w:tc>
          <w:tcPr>
            <w:tcW w:w="2835" w:type="dxa"/>
            <w:vAlign w:val="center"/>
          </w:tcPr>
          <w:p w:rsidR="00E565F1" w:rsidRPr="00E565F1" w:rsidRDefault="00287ADB" w:rsidP="0004692B">
            <w:pPr>
              <w:pStyle w:val="KeinLeerraum"/>
              <w:rPr>
                <w:sz w:val="20"/>
                <w:szCs w:val="20"/>
                <w:lang w:val="en-GB"/>
              </w:rPr>
            </w:pPr>
            <w:r>
              <w:rPr>
                <w:sz w:val="20"/>
                <w:szCs w:val="20"/>
                <w:lang w:val="en-GB"/>
              </w:rPr>
              <w:t xml:space="preserve">Metadata minimally needs to contain the </w:t>
            </w:r>
            <w:proofErr w:type="spellStart"/>
            <w:r>
              <w:rPr>
                <w:sz w:val="20"/>
                <w:szCs w:val="20"/>
                <w:lang w:val="en-GB"/>
              </w:rPr>
              <w:t>PID</w:t>
            </w:r>
            <w:proofErr w:type="spellEnd"/>
            <w:r>
              <w:rPr>
                <w:sz w:val="20"/>
                <w:szCs w:val="20"/>
                <w:lang w:val="en-GB"/>
              </w:rPr>
              <w:t xml:space="preserve"> of a DO.</w:t>
            </w:r>
          </w:p>
        </w:tc>
        <w:tc>
          <w:tcPr>
            <w:tcW w:w="4002" w:type="dxa"/>
            <w:vAlign w:val="center"/>
          </w:tcPr>
          <w:p w:rsidR="00E565F1" w:rsidRDefault="00287ADB" w:rsidP="0004692B">
            <w:pPr>
              <w:pStyle w:val="KeinLeerraum"/>
              <w:rPr>
                <w:sz w:val="20"/>
                <w:szCs w:val="20"/>
                <w:lang w:val="en-GB"/>
              </w:rPr>
            </w:pPr>
            <w:r>
              <w:rPr>
                <w:sz w:val="20"/>
                <w:szCs w:val="20"/>
                <w:lang w:val="en-GB"/>
              </w:rPr>
              <w:t xml:space="preserve">RDA is fairly elaborate on this issue, since </w:t>
            </w:r>
            <w:proofErr w:type="spellStart"/>
            <w:r>
              <w:rPr>
                <w:sz w:val="20"/>
                <w:szCs w:val="20"/>
                <w:lang w:val="en-GB"/>
              </w:rPr>
              <w:t>PIDs</w:t>
            </w:r>
            <w:proofErr w:type="spellEnd"/>
            <w:r>
              <w:rPr>
                <w:sz w:val="20"/>
                <w:szCs w:val="20"/>
                <w:lang w:val="en-GB"/>
              </w:rPr>
              <w:t xml:space="preserve"> are a special type of </w:t>
            </w:r>
            <w:proofErr w:type="gramStart"/>
            <w:r>
              <w:rPr>
                <w:sz w:val="20"/>
                <w:szCs w:val="20"/>
                <w:lang w:val="en-GB"/>
              </w:rPr>
              <w:t>metadata,</w:t>
            </w:r>
            <w:proofErr w:type="gramEnd"/>
            <w:r>
              <w:rPr>
                <w:sz w:val="20"/>
                <w:szCs w:val="20"/>
                <w:lang w:val="en-GB"/>
              </w:rPr>
              <w:t xml:space="preserve"> a </w:t>
            </w:r>
            <w:proofErr w:type="spellStart"/>
            <w:r>
              <w:rPr>
                <w:sz w:val="20"/>
                <w:szCs w:val="20"/>
                <w:lang w:val="en-GB"/>
              </w:rPr>
              <w:t>PID</w:t>
            </w:r>
            <w:proofErr w:type="spellEnd"/>
            <w:r>
              <w:rPr>
                <w:sz w:val="20"/>
                <w:szCs w:val="20"/>
                <w:lang w:val="en-GB"/>
              </w:rPr>
              <w:t xml:space="preserve"> record can include other properties of </w:t>
            </w:r>
            <w:proofErr w:type="spellStart"/>
            <w:r>
              <w:rPr>
                <w:sz w:val="20"/>
                <w:szCs w:val="20"/>
                <w:lang w:val="en-GB"/>
              </w:rPr>
              <w:t>DO</w:t>
            </w:r>
            <w:r w:rsidR="006A0D79">
              <w:rPr>
                <w:sz w:val="20"/>
                <w:szCs w:val="20"/>
                <w:lang w:val="en-GB"/>
              </w:rPr>
              <w:t>s</w:t>
            </w:r>
            <w:proofErr w:type="spellEnd"/>
            <w:r>
              <w:rPr>
                <w:sz w:val="20"/>
                <w:szCs w:val="20"/>
                <w:lang w:val="en-GB"/>
              </w:rPr>
              <w:t xml:space="preserve"> allowing for example t</w:t>
            </w:r>
            <w:r w:rsidR="006A0D79">
              <w:rPr>
                <w:sz w:val="20"/>
                <w:szCs w:val="20"/>
                <w:lang w:val="en-GB"/>
              </w:rPr>
              <w:t>he</w:t>
            </w:r>
            <w:r>
              <w:rPr>
                <w:sz w:val="20"/>
                <w:szCs w:val="20"/>
                <w:lang w:val="en-GB"/>
              </w:rPr>
              <w:t xml:space="preserve"> inclu</w:t>
            </w:r>
            <w:r w:rsidR="006A0D79">
              <w:rPr>
                <w:sz w:val="20"/>
                <w:szCs w:val="20"/>
                <w:lang w:val="en-GB"/>
              </w:rPr>
              <w:t>sion of</w:t>
            </w:r>
            <w:r>
              <w:rPr>
                <w:sz w:val="20"/>
                <w:szCs w:val="20"/>
                <w:lang w:val="en-GB"/>
              </w:rPr>
              <w:t xml:space="preserve"> the </w:t>
            </w:r>
            <w:proofErr w:type="spellStart"/>
            <w:r>
              <w:rPr>
                <w:sz w:val="20"/>
                <w:szCs w:val="20"/>
                <w:lang w:val="en-GB"/>
              </w:rPr>
              <w:t>PID</w:t>
            </w:r>
            <w:proofErr w:type="spellEnd"/>
            <w:r>
              <w:rPr>
                <w:sz w:val="20"/>
                <w:szCs w:val="20"/>
                <w:lang w:val="en-GB"/>
              </w:rPr>
              <w:t xml:space="preserve"> of the metadata description.</w:t>
            </w:r>
          </w:p>
          <w:p w:rsidR="00F47645" w:rsidRPr="00E565F1" w:rsidRDefault="00F47645" w:rsidP="0004692B">
            <w:pPr>
              <w:pStyle w:val="KeinLeerraum"/>
              <w:rPr>
                <w:sz w:val="20"/>
                <w:szCs w:val="20"/>
                <w:lang w:val="en-GB"/>
              </w:rPr>
            </w:pPr>
          </w:p>
        </w:tc>
      </w:tr>
      <w:tr w:rsidR="00E565F1" w:rsidRPr="006208E6">
        <w:trPr>
          <w:jc w:val="center"/>
        </w:trPr>
        <w:tc>
          <w:tcPr>
            <w:tcW w:w="2518" w:type="dxa"/>
            <w:vAlign w:val="center"/>
          </w:tcPr>
          <w:p w:rsidR="00E565F1" w:rsidRPr="00E565F1" w:rsidRDefault="00287ADB" w:rsidP="0049267B">
            <w:pPr>
              <w:pStyle w:val="KeinLeerraum"/>
              <w:rPr>
                <w:sz w:val="20"/>
                <w:szCs w:val="20"/>
                <w:lang w:val="en-GB"/>
              </w:rPr>
            </w:pPr>
            <w:r>
              <w:rPr>
                <w:sz w:val="20"/>
                <w:szCs w:val="20"/>
                <w:lang w:val="en-GB"/>
              </w:rPr>
              <w:lastRenderedPageBreak/>
              <w:t>(</w:t>
            </w:r>
            <w:proofErr w:type="gramStart"/>
            <w:r>
              <w:rPr>
                <w:sz w:val="20"/>
                <w:szCs w:val="20"/>
                <w:lang w:val="en-GB"/>
              </w:rPr>
              <w:t>meta</w:t>
            </w:r>
            <w:proofErr w:type="gramEnd"/>
            <w:r>
              <w:rPr>
                <w:sz w:val="20"/>
                <w:szCs w:val="20"/>
                <w:lang w:val="en-GB"/>
              </w:rPr>
              <w:t xml:space="preserve">) data are retrievable by their identifier using a standardized communications protocol. The protocol is open, free, and universally implementable. The protocol allows for an authentication and authorization. </w:t>
            </w:r>
          </w:p>
        </w:tc>
        <w:tc>
          <w:tcPr>
            <w:tcW w:w="2835" w:type="dxa"/>
            <w:vAlign w:val="center"/>
          </w:tcPr>
          <w:p w:rsidR="00E565F1" w:rsidRDefault="00287ADB" w:rsidP="00287ADB">
            <w:pPr>
              <w:pStyle w:val="KeinLeerraum"/>
              <w:rPr>
                <w:sz w:val="20"/>
                <w:szCs w:val="20"/>
                <w:lang w:val="en-GB"/>
              </w:rPr>
            </w:pPr>
            <w:r>
              <w:rPr>
                <w:sz w:val="20"/>
                <w:szCs w:val="20"/>
                <w:lang w:val="en-GB"/>
              </w:rPr>
              <w:t xml:space="preserve">A </w:t>
            </w:r>
            <w:proofErr w:type="spellStart"/>
            <w:r>
              <w:rPr>
                <w:sz w:val="20"/>
                <w:szCs w:val="20"/>
                <w:lang w:val="en-GB"/>
              </w:rPr>
              <w:t>PID</w:t>
            </w:r>
            <w:proofErr w:type="spellEnd"/>
            <w:r>
              <w:rPr>
                <w:sz w:val="20"/>
                <w:szCs w:val="20"/>
                <w:lang w:val="en-GB"/>
              </w:rPr>
              <w:t xml:space="preserve"> record contains a set of attributes describing DO </w:t>
            </w:r>
            <w:r w:rsidR="00662958">
              <w:rPr>
                <w:sz w:val="20"/>
                <w:szCs w:val="20"/>
                <w:lang w:val="en-GB"/>
              </w:rPr>
              <w:t xml:space="preserve">state </w:t>
            </w:r>
            <w:r>
              <w:rPr>
                <w:sz w:val="20"/>
                <w:szCs w:val="20"/>
                <w:lang w:val="en-GB"/>
              </w:rPr>
              <w:t xml:space="preserve">properties. </w:t>
            </w:r>
          </w:p>
          <w:p w:rsidR="00287ADB" w:rsidRPr="00E565F1" w:rsidRDefault="00287ADB" w:rsidP="00287ADB">
            <w:pPr>
              <w:pStyle w:val="KeinLeerraum"/>
              <w:rPr>
                <w:sz w:val="20"/>
                <w:szCs w:val="20"/>
                <w:lang w:val="en-GB"/>
              </w:rPr>
            </w:pPr>
            <w:r>
              <w:rPr>
                <w:sz w:val="20"/>
                <w:szCs w:val="20"/>
                <w:lang w:val="en-GB"/>
              </w:rPr>
              <w:t>State information is metadata information tha</w:t>
            </w:r>
            <w:r w:rsidR="00F95187">
              <w:rPr>
                <w:sz w:val="20"/>
                <w:szCs w:val="20"/>
                <w:lang w:val="en-GB"/>
              </w:rPr>
              <w:t>t describes those current prop</w:t>
            </w:r>
            <w:r>
              <w:rPr>
                <w:sz w:val="20"/>
                <w:szCs w:val="20"/>
                <w:lang w:val="en-GB"/>
              </w:rPr>
              <w:t>erties of the DO that are relevant for proper management and access.</w:t>
            </w:r>
          </w:p>
        </w:tc>
        <w:tc>
          <w:tcPr>
            <w:tcW w:w="4002" w:type="dxa"/>
            <w:vAlign w:val="center"/>
          </w:tcPr>
          <w:p w:rsidR="00E565F1" w:rsidRPr="00E565F1" w:rsidRDefault="00F95187" w:rsidP="00F95187">
            <w:pPr>
              <w:pStyle w:val="KeinLeerraum"/>
              <w:rPr>
                <w:sz w:val="20"/>
                <w:szCs w:val="20"/>
                <w:lang w:val="en-GB"/>
              </w:rPr>
            </w:pPr>
            <w:r>
              <w:rPr>
                <w:sz w:val="20"/>
                <w:szCs w:val="20"/>
                <w:lang w:val="en-GB"/>
              </w:rPr>
              <w:t xml:space="preserve">Within the various communities </w:t>
            </w:r>
            <w:proofErr w:type="spellStart"/>
            <w:r>
              <w:rPr>
                <w:sz w:val="20"/>
                <w:szCs w:val="20"/>
                <w:lang w:val="en-GB"/>
              </w:rPr>
              <w:t>PIDs</w:t>
            </w:r>
            <w:proofErr w:type="spellEnd"/>
            <w:r>
              <w:rPr>
                <w:sz w:val="20"/>
                <w:szCs w:val="20"/>
                <w:lang w:val="en-GB"/>
              </w:rPr>
              <w:t xml:space="preserve"> are being used differently, therefore RDA needs to use these definitions. Location information to retrieve/access a </w:t>
            </w:r>
            <w:proofErr w:type="spellStart"/>
            <w:r>
              <w:rPr>
                <w:sz w:val="20"/>
                <w:szCs w:val="20"/>
                <w:lang w:val="en-GB"/>
              </w:rPr>
              <w:t>DO</w:t>
            </w:r>
            <w:r w:rsidR="00662958">
              <w:rPr>
                <w:sz w:val="20"/>
                <w:szCs w:val="20"/>
                <w:lang w:val="en-GB"/>
              </w:rPr>
              <w:t>’s</w:t>
            </w:r>
            <w:proofErr w:type="spellEnd"/>
            <w:r w:rsidR="00662958">
              <w:rPr>
                <w:sz w:val="20"/>
                <w:szCs w:val="20"/>
                <w:lang w:val="en-GB"/>
              </w:rPr>
              <w:t xml:space="preserve"> content</w:t>
            </w:r>
            <w:r>
              <w:rPr>
                <w:sz w:val="20"/>
                <w:szCs w:val="20"/>
                <w:lang w:val="en-GB"/>
              </w:rPr>
              <w:t xml:space="preserve"> is </w:t>
            </w:r>
            <w:r w:rsidR="00AB6405">
              <w:rPr>
                <w:sz w:val="20"/>
                <w:szCs w:val="20"/>
                <w:lang w:val="en-GB"/>
              </w:rPr>
              <w:t xml:space="preserve">part of the state information. In RDA a group started working now on an API for repositories that allows accessing </w:t>
            </w:r>
            <w:proofErr w:type="spellStart"/>
            <w:r w:rsidR="00AB6405">
              <w:rPr>
                <w:sz w:val="20"/>
                <w:szCs w:val="20"/>
                <w:lang w:val="en-GB"/>
              </w:rPr>
              <w:t>DOs</w:t>
            </w:r>
            <w:proofErr w:type="spellEnd"/>
            <w:r w:rsidR="00AB6405">
              <w:rPr>
                <w:sz w:val="20"/>
                <w:szCs w:val="20"/>
                <w:lang w:val="en-GB"/>
              </w:rPr>
              <w:t xml:space="preserve">. Indeed </w:t>
            </w:r>
            <w:proofErr w:type="spellStart"/>
            <w:r w:rsidR="00AB6405">
              <w:rPr>
                <w:sz w:val="20"/>
                <w:szCs w:val="20"/>
                <w:lang w:val="en-GB"/>
              </w:rPr>
              <w:t>DAA</w:t>
            </w:r>
            <w:proofErr w:type="spellEnd"/>
            <w:r w:rsidR="00AB6405">
              <w:rPr>
                <w:sz w:val="20"/>
                <w:szCs w:val="20"/>
                <w:lang w:val="en-GB"/>
              </w:rPr>
              <w:t xml:space="preserve"> methods need to be considered since some data will be protected.</w:t>
            </w:r>
          </w:p>
        </w:tc>
      </w:tr>
      <w:tr w:rsidR="00E565F1" w:rsidRPr="00A15AB7">
        <w:trPr>
          <w:jc w:val="center"/>
        </w:trPr>
        <w:tc>
          <w:tcPr>
            <w:tcW w:w="2518" w:type="dxa"/>
            <w:vAlign w:val="center"/>
          </w:tcPr>
          <w:p w:rsidR="00E565F1" w:rsidRPr="00E565F1" w:rsidRDefault="00F95187" w:rsidP="0004692B">
            <w:pPr>
              <w:pStyle w:val="KeinLeerraum"/>
              <w:rPr>
                <w:sz w:val="20"/>
                <w:szCs w:val="20"/>
                <w:lang w:val="en-GB"/>
              </w:rPr>
            </w:pPr>
            <w:proofErr w:type="gramStart"/>
            <w:r>
              <w:rPr>
                <w:sz w:val="20"/>
                <w:szCs w:val="20"/>
                <w:lang w:val="en-GB"/>
              </w:rPr>
              <w:t>metadata</w:t>
            </w:r>
            <w:proofErr w:type="gramEnd"/>
            <w:r>
              <w:rPr>
                <w:sz w:val="20"/>
                <w:szCs w:val="20"/>
                <w:lang w:val="en-GB"/>
              </w:rPr>
              <w:t xml:space="preserve"> are accessible even when the data are no longer available.</w:t>
            </w:r>
          </w:p>
        </w:tc>
        <w:tc>
          <w:tcPr>
            <w:tcW w:w="2835" w:type="dxa"/>
            <w:vAlign w:val="center"/>
          </w:tcPr>
          <w:p w:rsidR="00E565F1" w:rsidRPr="00E565F1" w:rsidRDefault="00F95187" w:rsidP="00EA6E49">
            <w:pPr>
              <w:pStyle w:val="KeinLeerraum"/>
              <w:rPr>
                <w:sz w:val="20"/>
                <w:szCs w:val="20"/>
                <w:lang w:val="en-GB"/>
              </w:rPr>
            </w:pPr>
            <w:proofErr w:type="spellStart"/>
            <w:r>
              <w:rPr>
                <w:sz w:val="20"/>
                <w:szCs w:val="20"/>
                <w:lang w:val="en-GB"/>
              </w:rPr>
              <w:t>PID</w:t>
            </w:r>
            <w:proofErr w:type="spellEnd"/>
            <w:r>
              <w:rPr>
                <w:sz w:val="20"/>
                <w:szCs w:val="20"/>
                <w:lang w:val="en-GB"/>
              </w:rPr>
              <w:t xml:space="preserve"> records are stored persistently and </w:t>
            </w:r>
            <w:proofErr w:type="spellStart"/>
            <w:r>
              <w:rPr>
                <w:sz w:val="20"/>
                <w:szCs w:val="20"/>
                <w:lang w:val="en-GB"/>
              </w:rPr>
              <w:t>PIDs</w:t>
            </w:r>
            <w:proofErr w:type="spellEnd"/>
            <w:r>
              <w:rPr>
                <w:sz w:val="20"/>
                <w:szCs w:val="20"/>
                <w:lang w:val="en-GB"/>
              </w:rPr>
              <w:t xml:space="preserve"> </w:t>
            </w:r>
            <w:r w:rsidR="00EA6E49">
              <w:rPr>
                <w:sz w:val="20"/>
                <w:szCs w:val="20"/>
                <w:lang w:val="en-GB"/>
              </w:rPr>
              <w:t>need to be resolvable persistently.</w:t>
            </w:r>
          </w:p>
        </w:tc>
        <w:tc>
          <w:tcPr>
            <w:tcW w:w="4002" w:type="dxa"/>
            <w:vAlign w:val="center"/>
          </w:tcPr>
          <w:p w:rsidR="00E565F1" w:rsidRPr="00E565F1" w:rsidRDefault="00F95187" w:rsidP="0004692B">
            <w:pPr>
              <w:pStyle w:val="KeinLeerraum"/>
              <w:rPr>
                <w:sz w:val="20"/>
                <w:szCs w:val="20"/>
                <w:lang w:val="en-GB"/>
              </w:rPr>
            </w:pPr>
            <w:r>
              <w:rPr>
                <w:sz w:val="20"/>
                <w:szCs w:val="20"/>
                <w:lang w:val="en-GB"/>
              </w:rPr>
              <w:t xml:space="preserve">RDA does not make a statement on </w:t>
            </w:r>
            <w:r w:rsidR="00EA6E49">
              <w:rPr>
                <w:sz w:val="20"/>
                <w:szCs w:val="20"/>
                <w:lang w:val="en-GB"/>
              </w:rPr>
              <w:t xml:space="preserve">the </w:t>
            </w:r>
            <w:r>
              <w:rPr>
                <w:sz w:val="20"/>
                <w:szCs w:val="20"/>
                <w:lang w:val="en-GB"/>
              </w:rPr>
              <w:t xml:space="preserve">persistency of metadata except for the metadata (DO </w:t>
            </w:r>
            <w:r w:rsidR="00EA6E49">
              <w:rPr>
                <w:sz w:val="20"/>
                <w:szCs w:val="20"/>
                <w:lang w:val="en-GB"/>
              </w:rPr>
              <w:t xml:space="preserve">state </w:t>
            </w:r>
            <w:r>
              <w:rPr>
                <w:sz w:val="20"/>
                <w:szCs w:val="20"/>
                <w:lang w:val="en-GB"/>
              </w:rPr>
              <w:t xml:space="preserve">properties) that are stored in the </w:t>
            </w:r>
            <w:proofErr w:type="spellStart"/>
            <w:r>
              <w:rPr>
                <w:sz w:val="20"/>
                <w:szCs w:val="20"/>
                <w:lang w:val="en-GB"/>
              </w:rPr>
              <w:t>PID</w:t>
            </w:r>
            <w:proofErr w:type="spellEnd"/>
            <w:r>
              <w:rPr>
                <w:sz w:val="20"/>
                <w:szCs w:val="20"/>
                <w:lang w:val="en-GB"/>
              </w:rPr>
              <w:t xml:space="preserve"> record. </w:t>
            </w:r>
            <w:r w:rsidR="00EA6E49">
              <w:rPr>
                <w:sz w:val="20"/>
                <w:szCs w:val="20"/>
                <w:lang w:val="en-GB"/>
              </w:rPr>
              <w:t>Here FAIR is more explicit.</w:t>
            </w:r>
          </w:p>
        </w:tc>
      </w:tr>
      <w:tr w:rsidR="00AB6405" w:rsidRPr="00E565F1">
        <w:trPr>
          <w:jc w:val="center"/>
        </w:trPr>
        <w:tc>
          <w:tcPr>
            <w:tcW w:w="2518" w:type="dxa"/>
            <w:vAlign w:val="center"/>
          </w:tcPr>
          <w:p w:rsidR="00AB6405" w:rsidRPr="00F95187" w:rsidRDefault="00AB6405" w:rsidP="0004692B">
            <w:pPr>
              <w:pStyle w:val="KeinLeerraum"/>
              <w:rPr>
                <w:sz w:val="20"/>
                <w:szCs w:val="20"/>
                <w:lang w:val="en-GB"/>
              </w:rPr>
            </w:pPr>
            <w:r w:rsidRPr="00F95187">
              <w:rPr>
                <w:sz w:val="20"/>
                <w:szCs w:val="20"/>
                <w:lang w:val="en-GB"/>
              </w:rPr>
              <w:t>(</w:t>
            </w:r>
            <w:proofErr w:type="gramStart"/>
            <w:r w:rsidRPr="00F95187">
              <w:rPr>
                <w:sz w:val="20"/>
                <w:szCs w:val="20"/>
                <w:lang w:val="en-GB"/>
              </w:rPr>
              <w:t>meta)</w:t>
            </w:r>
            <w:proofErr w:type="gramEnd"/>
            <w:r w:rsidRPr="00F95187">
              <w:rPr>
                <w:sz w:val="20"/>
                <w:szCs w:val="20"/>
                <w:lang w:val="en-GB"/>
              </w:rPr>
              <w:t>data use a formal, accessible, shared, and broadly applicable language for knowledge representation.</w:t>
            </w:r>
          </w:p>
        </w:tc>
        <w:tc>
          <w:tcPr>
            <w:tcW w:w="2835" w:type="dxa"/>
            <w:vMerge w:val="restart"/>
            <w:vAlign w:val="center"/>
          </w:tcPr>
          <w:p w:rsidR="00A04566" w:rsidRPr="0020100F" w:rsidRDefault="00AB6405" w:rsidP="001B075D">
            <w:pPr>
              <w:pStyle w:val="KeinLeerraum"/>
              <w:rPr>
                <w:sz w:val="20"/>
                <w:szCs w:val="20"/>
                <w:lang w:val="en-GB"/>
              </w:rPr>
            </w:pPr>
            <w:r w:rsidRPr="001820B5">
              <w:rPr>
                <w:sz w:val="20"/>
                <w:szCs w:val="20"/>
                <w:lang w:val="en-GB"/>
              </w:rPr>
              <w:t xml:space="preserve">In RDA the Metadata Groups </w:t>
            </w:r>
            <w:r w:rsidR="00EA6E49" w:rsidRPr="001820B5">
              <w:rPr>
                <w:sz w:val="20"/>
                <w:szCs w:val="20"/>
                <w:lang w:val="en-GB"/>
              </w:rPr>
              <w:t>are</w:t>
            </w:r>
            <w:r w:rsidRPr="001820B5">
              <w:rPr>
                <w:sz w:val="20"/>
                <w:szCs w:val="20"/>
                <w:lang w:val="en-GB"/>
              </w:rPr>
              <w:t xml:space="preserve"> </w:t>
            </w:r>
            <w:r w:rsidR="001B075D" w:rsidRPr="001820B5">
              <w:rPr>
                <w:sz w:val="20"/>
                <w:szCs w:val="20"/>
                <w:lang w:val="en-GB"/>
              </w:rPr>
              <w:t>working on</w:t>
            </w:r>
            <w:r w:rsidRPr="001820B5">
              <w:rPr>
                <w:sz w:val="20"/>
                <w:szCs w:val="20"/>
                <w:lang w:val="en-GB"/>
              </w:rPr>
              <w:t xml:space="preserve"> metadata</w:t>
            </w:r>
            <w:r w:rsidR="00EA6E49" w:rsidRPr="001820B5">
              <w:rPr>
                <w:sz w:val="20"/>
                <w:szCs w:val="20"/>
                <w:lang w:val="en-GB"/>
              </w:rPr>
              <w:t xml:space="preserve"> issues</w:t>
            </w:r>
            <w:r w:rsidRPr="001820B5">
              <w:rPr>
                <w:sz w:val="20"/>
                <w:szCs w:val="20"/>
                <w:lang w:val="en-GB"/>
              </w:rPr>
              <w:t>. MD groups talk about packages now to distinguish different functions of MD.</w:t>
            </w:r>
            <w:r w:rsidR="00EA6E49" w:rsidRPr="001820B5">
              <w:rPr>
                <w:sz w:val="20"/>
                <w:szCs w:val="20"/>
                <w:lang w:val="en-GB"/>
              </w:rPr>
              <w:t xml:space="preserve"> There is common agreement, although not result of a specific </w:t>
            </w:r>
            <w:proofErr w:type="spellStart"/>
            <w:r w:rsidR="00EA6E49" w:rsidRPr="001820B5">
              <w:rPr>
                <w:sz w:val="20"/>
                <w:szCs w:val="20"/>
                <w:lang w:val="en-GB"/>
              </w:rPr>
              <w:t>WG</w:t>
            </w:r>
            <w:proofErr w:type="spellEnd"/>
            <w:r w:rsidR="00EA6E49" w:rsidRPr="001820B5">
              <w:rPr>
                <w:sz w:val="20"/>
                <w:szCs w:val="20"/>
                <w:lang w:val="en-GB"/>
              </w:rPr>
              <w:t xml:space="preserve">/IG output, that metadata schemas need to be registered and the concepts used need to be defined and registered in open </w:t>
            </w:r>
            <w:r w:rsidR="00EA6E49" w:rsidRPr="0020100F">
              <w:rPr>
                <w:sz w:val="20"/>
                <w:szCs w:val="20"/>
                <w:lang w:val="en-GB"/>
              </w:rPr>
              <w:t xml:space="preserve">registries. </w:t>
            </w:r>
            <w:r w:rsidR="00A04566" w:rsidRPr="0020100F">
              <w:rPr>
                <w:sz w:val="20"/>
                <w:szCs w:val="20"/>
                <w:lang w:val="en-GB"/>
              </w:rPr>
              <w:t xml:space="preserve">Yet given the practices for in particular metadata there is no agreement to use “a formal ... language for knowledge representation”. It seems to be an excellent objective to agree on export formats independent of how people organize their metadata. </w:t>
            </w:r>
          </w:p>
          <w:p w:rsidR="00AB6405" w:rsidRPr="001820B5" w:rsidRDefault="00EA6E49" w:rsidP="001B075D">
            <w:pPr>
              <w:pStyle w:val="KeinLeerraum"/>
              <w:rPr>
                <w:sz w:val="20"/>
                <w:szCs w:val="20"/>
                <w:lang w:val="en-GB"/>
              </w:rPr>
            </w:pPr>
            <w:r w:rsidRPr="0020100F">
              <w:rPr>
                <w:sz w:val="20"/>
                <w:szCs w:val="20"/>
                <w:lang w:val="en-GB"/>
              </w:rPr>
              <w:t xml:space="preserve">Yet RDA does not have </w:t>
            </w:r>
            <w:r w:rsidRPr="001820B5">
              <w:rPr>
                <w:sz w:val="20"/>
                <w:szCs w:val="20"/>
                <w:lang w:val="en-GB"/>
              </w:rPr>
              <w:t>a group that formulates general requirements for data.</w:t>
            </w:r>
            <w:r w:rsidR="001B075D" w:rsidRPr="001820B5">
              <w:rPr>
                <w:sz w:val="20"/>
                <w:szCs w:val="20"/>
                <w:lang w:val="en-GB"/>
              </w:rPr>
              <w:t xml:space="preserve"> Here FAIR is more explicit and RDA can support </w:t>
            </w:r>
            <w:proofErr w:type="gramStart"/>
            <w:r w:rsidR="001B075D" w:rsidRPr="001820B5">
              <w:rPr>
                <w:sz w:val="20"/>
                <w:szCs w:val="20"/>
                <w:lang w:val="en-GB"/>
              </w:rPr>
              <w:t xml:space="preserve">the </w:t>
            </w:r>
            <w:r w:rsidR="001820B5" w:rsidRPr="001820B5">
              <w:rPr>
                <w:sz w:val="20"/>
                <w:szCs w:val="20"/>
                <w:lang w:val="en-GB"/>
              </w:rPr>
              <w:t>their</w:t>
            </w:r>
            <w:proofErr w:type="gramEnd"/>
            <w:r w:rsidR="001820B5" w:rsidRPr="001820B5">
              <w:rPr>
                <w:sz w:val="20"/>
                <w:szCs w:val="20"/>
                <w:lang w:val="en-GB"/>
              </w:rPr>
              <w:t xml:space="preserve"> </w:t>
            </w:r>
            <w:r w:rsidR="001B075D" w:rsidRPr="001820B5">
              <w:rPr>
                <w:sz w:val="20"/>
                <w:szCs w:val="20"/>
                <w:lang w:val="en-GB"/>
              </w:rPr>
              <w:t xml:space="preserve">formulations. </w:t>
            </w:r>
          </w:p>
        </w:tc>
        <w:tc>
          <w:tcPr>
            <w:tcW w:w="4002" w:type="dxa"/>
            <w:vMerge w:val="restart"/>
            <w:vAlign w:val="center"/>
          </w:tcPr>
          <w:p w:rsidR="00AB6405" w:rsidRPr="00E565F1" w:rsidRDefault="00AB6405" w:rsidP="00F95187">
            <w:pPr>
              <w:pStyle w:val="KeinLeerraum"/>
              <w:rPr>
                <w:sz w:val="20"/>
                <w:szCs w:val="20"/>
                <w:lang w:val="en-GB"/>
              </w:rPr>
            </w:pPr>
            <w:r>
              <w:rPr>
                <w:sz w:val="20"/>
                <w:szCs w:val="20"/>
                <w:lang w:val="en-GB"/>
              </w:rPr>
              <w:t xml:space="preserve">There is a wide agreement in RDA that </w:t>
            </w:r>
            <w:r w:rsidR="00D102DA">
              <w:rPr>
                <w:sz w:val="20"/>
                <w:szCs w:val="20"/>
                <w:lang w:val="en-GB"/>
              </w:rPr>
              <w:t>the</w:t>
            </w:r>
            <w:r>
              <w:rPr>
                <w:sz w:val="20"/>
                <w:szCs w:val="20"/>
                <w:lang w:val="en-GB"/>
              </w:rPr>
              <w:t xml:space="preserve"> schema</w:t>
            </w:r>
            <w:r w:rsidR="00D102DA">
              <w:rPr>
                <w:sz w:val="20"/>
                <w:szCs w:val="20"/>
                <w:lang w:val="en-GB"/>
              </w:rPr>
              <w:t>s</w:t>
            </w:r>
            <w:r>
              <w:rPr>
                <w:sz w:val="20"/>
                <w:szCs w:val="20"/>
                <w:lang w:val="en-GB"/>
              </w:rPr>
              <w:t xml:space="preserve"> and semantics</w:t>
            </w:r>
            <w:r w:rsidR="00D102DA">
              <w:rPr>
                <w:sz w:val="20"/>
                <w:szCs w:val="20"/>
                <w:lang w:val="en-GB"/>
              </w:rPr>
              <w:t xml:space="preserve"> for </w:t>
            </w:r>
            <w:proofErr w:type="spellStart"/>
            <w:r w:rsidR="00D102DA">
              <w:rPr>
                <w:sz w:val="20"/>
                <w:szCs w:val="20"/>
                <w:lang w:val="en-GB"/>
              </w:rPr>
              <w:t>DOs</w:t>
            </w:r>
            <w:proofErr w:type="spellEnd"/>
            <w:r>
              <w:rPr>
                <w:sz w:val="20"/>
                <w:szCs w:val="20"/>
                <w:lang w:val="en-GB"/>
              </w:rPr>
              <w:t xml:space="preserve"> must be openly registered and defined. The schema implies a structured description and it is expected that semantics are stored in suitable vocabulary registries. There is a new RDA group to deal about vocabulary registries. Registries must be open.</w:t>
            </w: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r w:rsidRPr="00F95187">
              <w:rPr>
                <w:sz w:val="20"/>
                <w:szCs w:val="20"/>
                <w:lang w:val="en-GB"/>
              </w:rPr>
              <w:t>(</w:t>
            </w:r>
            <w:proofErr w:type="gramStart"/>
            <w:r w:rsidRPr="00F95187">
              <w:rPr>
                <w:sz w:val="20"/>
                <w:szCs w:val="20"/>
                <w:lang w:val="en-GB"/>
              </w:rPr>
              <w:t>meta)</w:t>
            </w:r>
            <w:proofErr w:type="gramEnd"/>
            <w:r w:rsidRPr="00F95187">
              <w:rPr>
                <w:sz w:val="20"/>
                <w:szCs w:val="20"/>
                <w:lang w:val="en-GB"/>
              </w:rPr>
              <w:t>data use vocabularies that follow FAIR principles.</w:t>
            </w:r>
          </w:p>
        </w:tc>
        <w:tc>
          <w:tcPr>
            <w:tcW w:w="2835" w:type="dxa"/>
            <w:vMerge/>
            <w:vAlign w:val="center"/>
          </w:tcPr>
          <w:p w:rsidR="00AB6405" w:rsidRPr="00E565F1" w:rsidRDefault="00AB6405" w:rsidP="0004692B">
            <w:pPr>
              <w:pStyle w:val="KeinLeerraum"/>
              <w:rPr>
                <w:sz w:val="20"/>
                <w:szCs w:val="20"/>
                <w:lang w:val="en-GB"/>
              </w:rPr>
            </w:pPr>
          </w:p>
        </w:tc>
        <w:tc>
          <w:tcPr>
            <w:tcW w:w="4002" w:type="dxa"/>
            <w:vMerge/>
            <w:vAlign w:val="center"/>
          </w:tcPr>
          <w:p w:rsidR="00AB6405" w:rsidRPr="00E565F1" w:rsidRDefault="00AB6405" w:rsidP="0004692B">
            <w:pPr>
              <w:pStyle w:val="KeinLeerraum"/>
              <w:rPr>
                <w:sz w:val="20"/>
                <w:szCs w:val="20"/>
                <w:lang w:val="en-GB"/>
              </w:rPr>
            </w:pP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r w:rsidRPr="00F95187">
              <w:rPr>
                <w:sz w:val="20"/>
                <w:szCs w:val="20"/>
                <w:lang w:val="en-GB"/>
              </w:rPr>
              <w:t>(</w:t>
            </w:r>
            <w:proofErr w:type="gramStart"/>
            <w:r w:rsidRPr="00F95187">
              <w:rPr>
                <w:sz w:val="20"/>
                <w:szCs w:val="20"/>
                <w:lang w:val="en-GB"/>
              </w:rPr>
              <w:t>meta)</w:t>
            </w:r>
            <w:proofErr w:type="gramEnd"/>
            <w:r w:rsidRPr="00F95187">
              <w:rPr>
                <w:sz w:val="20"/>
                <w:szCs w:val="20"/>
                <w:lang w:val="en-GB"/>
              </w:rPr>
              <w:t>data include qualified references to other (meta)data.</w:t>
            </w:r>
          </w:p>
        </w:tc>
        <w:tc>
          <w:tcPr>
            <w:tcW w:w="2835" w:type="dxa"/>
            <w:vMerge/>
            <w:vAlign w:val="center"/>
          </w:tcPr>
          <w:p w:rsidR="00AB6405" w:rsidRPr="00E565F1" w:rsidRDefault="00AB6405" w:rsidP="0004692B">
            <w:pPr>
              <w:pStyle w:val="KeinLeerraum"/>
              <w:rPr>
                <w:sz w:val="20"/>
                <w:szCs w:val="20"/>
                <w:lang w:val="en-GB"/>
              </w:rPr>
            </w:pPr>
          </w:p>
        </w:tc>
        <w:tc>
          <w:tcPr>
            <w:tcW w:w="4002" w:type="dxa"/>
            <w:vAlign w:val="center"/>
          </w:tcPr>
          <w:p w:rsidR="00AB6405" w:rsidRPr="00E565F1" w:rsidRDefault="00AB6405" w:rsidP="00BF6E74">
            <w:pPr>
              <w:pStyle w:val="KeinLeerraum"/>
              <w:rPr>
                <w:sz w:val="20"/>
                <w:szCs w:val="20"/>
                <w:lang w:val="en-GB"/>
              </w:rPr>
            </w:pPr>
            <w:r>
              <w:rPr>
                <w:sz w:val="20"/>
                <w:szCs w:val="20"/>
                <w:lang w:val="en-GB"/>
              </w:rPr>
              <w:t xml:space="preserve">RDA speaks about binding information </w:t>
            </w:r>
            <w:r w:rsidR="00D102DA">
              <w:rPr>
                <w:sz w:val="20"/>
                <w:szCs w:val="20"/>
                <w:lang w:val="en-GB"/>
              </w:rPr>
              <w:t xml:space="preserve">in </w:t>
            </w:r>
            <w:r>
              <w:rPr>
                <w:sz w:val="20"/>
                <w:szCs w:val="20"/>
                <w:lang w:val="en-GB"/>
              </w:rPr>
              <w:t xml:space="preserve">the </w:t>
            </w:r>
            <w:proofErr w:type="spellStart"/>
            <w:r>
              <w:rPr>
                <w:sz w:val="20"/>
                <w:szCs w:val="20"/>
                <w:lang w:val="en-GB"/>
              </w:rPr>
              <w:t>PID</w:t>
            </w:r>
            <w:proofErr w:type="spellEnd"/>
            <w:r>
              <w:rPr>
                <w:sz w:val="20"/>
                <w:szCs w:val="20"/>
                <w:lang w:val="en-GB"/>
              </w:rPr>
              <w:t xml:space="preserve"> record</w:t>
            </w:r>
            <w:r w:rsidR="00BF6E74">
              <w:rPr>
                <w:sz w:val="20"/>
                <w:szCs w:val="20"/>
                <w:lang w:val="en-GB"/>
              </w:rPr>
              <w:t>. This is</w:t>
            </w:r>
            <w:r>
              <w:rPr>
                <w:sz w:val="20"/>
                <w:szCs w:val="20"/>
                <w:lang w:val="en-GB"/>
              </w:rPr>
              <w:t xml:space="preserve"> crucial </w:t>
            </w:r>
            <w:r w:rsidR="00BF6E74">
              <w:rPr>
                <w:sz w:val="20"/>
                <w:szCs w:val="20"/>
                <w:lang w:val="en-GB"/>
              </w:rPr>
              <w:t xml:space="preserve">in order to connect each DO with its </w:t>
            </w:r>
            <w:proofErr w:type="spellStart"/>
            <w:r>
              <w:rPr>
                <w:sz w:val="20"/>
                <w:szCs w:val="20"/>
                <w:lang w:val="en-GB"/>
              </w:rPr>
              <w:t>bitstream</w:t>
            </w:r>
            <w:proofErr w:type="spellEnd"/>
            <w:r>
              <w:rPr>
                <w:sz w:val="20"/>
                <w:szCs w:val="20"/>
                <w:lang w:val="en-GB"/>
              </w:rPr>
              <w:t xml:space="preserve">, metadata, landing pages, rights records, etc. Repositories </w:t>
            </w:r>
            <w:r w:rsidR="00BF6E74">
              <w:rPr>
                <w:sz w:val="20"/>
                <w:szCs w:val="20"/>
                <w:lang w:val="en-GB"/>
              </w:rPr>
              <w:t xml:space="preserve">may </w:t>
            </w:r>
            <w:r>
              <w:rPr>
                <w:sz w:val="20"/>
                <w:szCs w:val="20"/>
                <w:lang w:val="en-GB"/>
              </w:rPr>
              <w:t>implement this</w:t>
            </w:r>
            <w:r w:rsidR="00BF6E74">
              <w:rPr>
                <w:sz w:val="20"/>
                <w:szCs w:val="20"/>
                <w:lang w:val="en-GB"/>
              </w:rPr>
              <w:t>,</w:t>
            </w:r>
            <w:r>
              <w:rPr>
                <w:sz w:val="20"/>
                <w:szCs w:val="20"/>
                <w:lang w:val="en-GB"/>
              </w:rPr>
              <w:t xml:space="preserve"> however</w:t>
            </w:r>
            <w:r w:rsidR="00BF6E74">
              <w:rPr>
                <w:sz w:val="20"/>
                <w:szCs w:val="20"/>
                <w:lang w:val="en-GB"/>
              </w:rPr>
              <w:t>,</w:t>
            </w:r>
            <w:r>
              <w:rPr>
                <w:sz w:val="20"/>
                <w:szCs w:val="20"/>
                <w:lang w:val="en-GB"/>
              </w:rPr>
              <w:t xml:space="preserve"> in different ways. It is agreed that metadata is the place that should include references to relevant context and history.</w:t>
            </w:r>
            <w:r w:rsidR="00EA6E49">
              <w:rPr>
                <w:sz w:val="20"/>
                <w:szCs w:val="20"/>
                <w:lang w:val="en-GB"/>
              </w:rPr>
              <w:t xml:space="preserve"> </w:t>
            </w: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proofErr w:type="gramStart"/>
            <w:r w:rsidRPr="00A5135B">
              <w:rPr>
                <w:lang w:val="en-GB"/>
              </w:rPr>
              <w:t>meta(</w:t>
            </w:r>
            <w:proofErr w:type="gramEnd"/>
            <w:r w:rsidRPr="00A5135B">
              <w:rPr>
                <w:lang w:val="en-GB"/>
              </w:rPr>
              <w:t>data)</w:t>
            </w:r>
            <w:r>
              <w:rPr>
                <w:lang w:val="en-GB"/>
              </w:rPr>
              <w:t xml:space="preserve"> </w:t>
            </w:r>
            <w:r w:rsidRPr="00A5135B">
              <w:rPr>
                <w:lang w:val="en-GB"/>
              </w:rPr>
              <w:t>have</w:t>
            </w:r>
            <w:r>
              <w:rPr>
                <w:lang w:val="en-GB"/>
              </w:rPr>
              <w:t xml:space="preserve"> </w:t>
            </w:r>
            <w:r w:rsidRPr="00A5135B">
              <w:rPr>
                <w:lang w:val="en-GB"/>
              </w:rPr>
              <w:t>a</w:t>
            </w:r>
            <w:r>
              <w:rPr>
                <w:lang w:val="en-GB"/>
              </w:rPr>
              <w:t xml:space="preserve"> </w:t>
            </w:r>
            <w:r w:rsidRPr="00A5135B">
              <w:rPr>
                <w:lang w:val="en-GB"/>
              </w:rPr>
              <w:t>plurality</w:t>
            </w:r>
            <w:r>
              <w:rPr>
                <w:lang w:val="en-GB"/>
              </w:rPr>
              <w:t xml:space="preserve"> </w:t>
            </w:r>
            <w:r w:rsidRPr="00A5135B">
              <w:rPr>
                <w:lang w:val="en-GB"/>
              </w:rPr>
              <w:t>of</w:t>
            </w:r>
            <w:r>
              <w:rPr>
                <w:lang w:val="en-GB"/>
              </w:rPr>
              <w:t xml:space="preserve"> </w:t>
            </w:r>
            <w:r w:rsidRPr="00A5135B">
              <w:rPr>
                <w:lang w:val="en-GB"/>
              </w:rPr>
              <w:t>accurate</w:t>
            </w:r>
            <w:r>
              <w:rPr>
                <w:lang w:val="en-GB"/>
              </w:rPr>
              <w:t xml:space="preserve"> </w:t>
            </w:r>
            <w:r w:rsidRPr="00A5135B">
              <w:rPr>
                <w:lang w:val="en-GB"/>
              </w:rPr>
              <w:t>and</w:t>
            </w:r>
            <w:r>
              <w:rPr>
                <w:lang w:val="en-GB"/>
              </w:rPr>
              <w:t xml:space="preserve"> </w:t>
            </w:r>
            <w:r w:rsidRPr="00A5135B">
              <w:rPr>
                <w:lang w:val="en-GB"/>
              </w:rPr>
              <w:t>relevant</w:t>
            </w:r>
            <w:r>
              <w:rPr>
                <w:lang w:val="en-GB"/>
              </w:rPr>
              <w:t xml:space="preserve"> </w:t>
            </w:r>
            <w:r w:rsidRPr="00A5135B">
              <w:rPr>
                <w:lang w:val="en-GB"/>
              </w:rPr>
              <w:t>attributes.</w:t>
            </w:r>
          </w:p>
        </w:tc>
        <w:tc>
          <w:tcPr>
            <w:tcW w:w="2835" w:type="dxa"/>
            <w:vMerge/>
            <w:vAlign w:val="center"/>
          </w:tcPr>
          <w:p w:rsidR="00AB6405" w:rsidRPr="00E565F1" w:rsidRDefault="00AB6405" w:rsidP="0004692B">
            <w:pPr>
              <w:pStyle w:val="KeinLeerraum"/>
              <w:rPr>
                <w:sz w:val="20"/>
                <w:szCs w:val="20"/>
                <w:lang w:val="en-GB"/>
              </w:rPr>
            </w:pPr>
          </w:p>
        </w:tc>
        <w:tc>
          <w:tcPr>
            <w:tcW w:w="4002" w:type="dxa"/>
            <w:vMerge w:val="restart"/>
            <w:vAlign w:val="center"/>
          </w:tcPr>
          <w:p w:rsidR="00AB6405" w:rsidRPr="00E565F1" w:rsidRDefault="00AB6405" w:rsidP="001B075D">
            <w:pPr>
              <w:pStyle w:val="KeinLeerraum"/>
              <w:rPr>
                <w:sz w:val="20"/>
                <w:szCs w:val="20"/>
                <w:lang w:val="en-GB"/>
              </w:rPr>
            </w:pPr>
            <w:r>
              <w:rPr>
                <w:sz w:val="20"/>
                <w:szCs w:val="20"/>
                <w:lang w:val="en-GB"/>
              </w:rPr>
              <w:t xml:space="preserve">RDA </w:t>
            </w:r>
            <w:r w:rsidR="001B075D">
              <w:rPr>
                <w:sz w:val="20"/>
                <w:szCs w:val="20"/>
                <w:lang w:val="en-GB"/>
              </w:rPr>
              <w:t>recognizes</w:t>
            </w:r>
            <w:r>
              <w:rPr>
                <w:sz w:val="20"/>
                <w:szCs w:val="20"/>
                <w:lang w:val="en-GB"/>
              </w:rPr>
              <w:t xml:space="preserve"> that there are different types of metadata created at different moments </w:t>
            </w:r>
            <w:r w:rsidR="001B075D">
              <w:rPr>
                <w:sz w:val="20"/>
                <w:szCs w:val="20"/>
                <w:lang w:val="en-GB"/>
              </w:rPr>
              <w:t xml:space="preserve">by different stakeholders </w:t>
            </w:r>
            <w:r>
              <w:rPr>
                <w:sz w:val="20"/>
                <w:szCs w:val="20"/>
                <w:lang w:val="en-GB"/>
              </w:rPr>
              <w:t xml:space="preserve">such as descriptive md, state information (systems md), rights md, references to contexts and provenance. </w:t>
            </w: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are</w:t>
            </w:r>
            <w:r>
              <w:rPr>
                <w:lang w:val="en-GB"/>
              </w:rPr>
              <w:t xml:space="preserve"> </w:t>
            </w:r>
            <w:r w:rsidRPr="00A5135B">
              <w:rPr>
                <w:lang w:val="en-GB"/>
              </w:rPr>
              <w:t>associated</w:t>
            </w:r>
            <w:r>
              <w:rPr>
                <w:lang w:val="en-GB"/>
              </w:rPr>
              <w:t xml:space="preserve"> </w:t>
            </w:r>
            <w:r w:rsidRPr="00A5135B">
              <w:rPr>
                <w:lang w:val="en-GB"/>
              </w:rPr>
              <w:t>with</w:t>
            </w:r>
            <w:r>
              <w:rPr>
                <w:lang w:val="en-GB"/>
              </w:rPr>
              <w:t xml:space="preserve"> </w:t>
            </w:r>
            <w:r w:rsidRPr="00A5135B">
              <w:rPr>
                <w:lang w:val="en-GB"/>
              </w:rPr>
              <w:t>their</w:t>
            </w:r>
            <w:r>
              <w:rPr>
                <w:lang w:val="en-GB"/>
              </w:rPr>
              <w:t xml:space="preserve"> </w:t>
            </w:r>
            <w:r w:rsidRPr="00A5135B">
              <w:rPr>
                <w:lang w:val="en-GB"/>
              </w:rPr>
              <w:t>provenance.</w:t>
            </w:r>
          </w:p>
        </w:tc>
        <w:tc>
          <w:tcPr>
            <w:tcW w:w="2835" w:type="dxa"/>
            <w:vMerge/>
            <w:vAlign w:val="center"/>
          </w:tcPr>
          <w:p w:rsidR="00AB6405" w:rsidRPr="00E565F1" w:rsidRDefault="00AB6405" w:rsidP="0004692B">
            <w:pPr>
              <w:pStyle w:val="KeinLeerraum"/>
              <w:rPr>
                <w:sz w:val="20"/>
                <w:szCs w:val="20"/>
                <w:lang w:val="en-GB"/>
              </w:rPr>
            </w:pPr>
          </w:p>
        </w:tc>
        <w:tc>
          <w:tcPr>
            <w:tcW w:w="4002" w:type="dxa"/>
            <w:vMerge/>
            <w:vAlign w:val="center"/>
          </w:tcPr>
          <w:p w:rsidR="00AB6405" w:rsidRPr="00E565F1" w:rsidRDefault="00AB6405" w:rsidP="0004692B">
            <w:pPr>
              <w:pStyle w:val="KeinLeerraum"/>
              <w:rPr>
                <w:sz w:val="20"/>
                <w:szCs w:val="20"/>
                <w:lang w:val="en-GB"/>
              </w:rPr>
            </w:pP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are</w:t>
            </w:r>
            <w:r>
              <w:rPr>
                <w:lang w:val="en-GB"/>
              </w:rPr>
              <w:t xml:space="preserve"> </w:t>
            </w:r>
            <w:r w:rsidRPr="00A5135B">
              <w:rPr>
                <w:lang w:val="en-GB"/>
              </w:rPr>
              <w:t>released</w:t>
            </w:r>
            <w:r>
              <w:rPr>
                <w:lang w:val="en-GB"/>
              </w:rPr>
              <w:t xml:space="preserve"> </w:t>
            </w:r>
            <w:r w:rsidRPr="00A5135B">
              <w:rPr>
                <w:lang w:val="en-GB"/>
              </w:rPr>
              <w:t>with</w:t>
            </w:r>
            <w:r>
              <w:rPr>
                <w:lang w:val="en-GB"/>
              </w:rPr>
              <w:t xml:space="preserve"> </w:t>
            </w:r>
            <w:r w:rsidRPr="00A5135B">
              <w:rPr>
                <w:lang w:val="en-GB"/>
              </w:rPr>
              <w:t>a</w:t>
            </w:r>
            <w:r>
              <w:rPr>
                <w:lang w:val="en-GB"/>
              </w:rPr>
              <w:t xml:space="preserve"> </w:t>
            </w:r>
            <w:r w:rsidRPr="00A5135B">
              <w:rPr>
                <w:lang w:val="en-GB"/>
              </w:rPr>
              <w:t>clear</w:t>
            </w:r>
            <w:r>
              <w:rPr>
                <w:lang w:val="en-GB"/>
              </w:rPr>
              <w:t xml:space="preserve"> </w:t>
            </w:r>
            <w:r w:rsidRPr="00A5135B">
              <w:rPr>
                <w:lang w:val="en-GB"/>
              </w:rPr>
              <w:t>and</w:t>
            </w:r>
            <w:r>
              <w:rPr>
                <w:lang w:val="en-GB"/>
              </w:rPr>
              <w:t xml:space="preserve"> </w:t>
            </w:r>
            <w:r w:rsidRPr="00A5135B">
              <w:rPr>
                <w:lang w:val="en-GB"/>
              </w:rPr>
              <w:t>accessible</w:t>
            </w:r>
            <w:r>
              <w:rPr>
                <w:lang w:val="en-GB"/>
              </w:rPr>
              <w:t xml:space="preserve"> </w:t>
            </w:r>
            <w:r w:rsidRPr="00A5135B">
              <w:rPr>
                <w:lang w:val="en-GB"/>
              </w:rPr>
              <w:t>data</w:t>
            </w:r>
            <w:r>
              <w:rPr>
                <w:lang w:val="en-GB"/>
              </w:rPr>
              <w:t xml:space="preserve"> </w:t>
            </w:r>
            <w:r w:rsidRPr="00A5135B">
              <w:rPr>
                <w:lang w:val="en-GB"/>
              </w:rPr>
              <w:t>usage</w:t>
            </w:r>
            <w:r>
              <w:rPr>
                <w:lang w:val="en-GB"/>
              </w:rPr>
              <w:t xml:space="preserve"> </w:t>
            </w:r>
            <w:r w:rsidRPr="00A5135B">
              <w:rPr>
                <w:lang w:val="en-GB"/>
              </w:rPr>
              <w:t>license.</w:t>
            </w:r>
          </w:p>
        </w:tc>
        <w:tc>
          <w:tcPr>
            <w:tcW w:w="2835" w:type="dxa"/>
            <w:vMerge/>
            <w:vAlign w:val="center"/>
          </w:tcPr>
          <w:p w:rsidR="00AB6405" w:rsidRPr="00E565F1" w:rsidRDefault="00AB6405" w:rsidP="0004692B">
            <w:pPr>
              <w:pStyle w:val="KeinLeerraum"/>
              <w:rPr>
                <w:sz w:val="20"/>
                <w:szCs w:val="20"/>
                <w:lang w:val="en-GB"/>
              </w:rPr>
            </w:pPr>
          </w:p>
        </w:tc>
        <w:tc>
          <w:tcPr>
            <w:tcW w:w="4002" w:type="dxa"/>
            <w:vAlign w:val="center"/>
          </w:tcPr>
          <w:p w:rsidR="00AB6405" w:rsidRPr="00E565F1" w:rsidRDefault="00AB6405" w:rsidP="00DB7190">
            <w:pPr>
              <w:pStyle w:val="KeinLeerraum"/>
              <w:rPr>
                <w:sz w:val="20"/>
                <w:szCs w:val="20"/>
                <w:lang w:val="en-GB"/>
              </w:rPr>
            </w:pPr>
            <w:r>
              <w:rPr>
                <w:sz w:val="20"/>
                <w:szCs w:val="20"/>
                <w:lang w:val="en-GB"/>
              </w:rPr>
              <w:t xml:space="preserve">RDA agrees that descriptive metadata should be openly accessible. Data will be protected </w:t>
            </w:r>
            <w:r w:rsidR="00DB7190">
              <w:rPr>
                <w:sz w:val="20"/>
                <w:szCs w:val="20"/>
                <w:lang w:val="en-GB"/>
              </w:rPr>
              <w:t xml:space="preserve">as needed </w:t>
            </w:r>
            <w:r>
              <w:rPr>
                <w:sz w:val="20"/>
                <w:szCs w:val="20"/>
                <w:lang w:val="en-GB"/>
              </w:rPr>
              <w:t>and metadata should include clear statements</w:t>
            </w:r>
            <w:r w:rsidR="001B075D">
              <w:rPr>
                <w:sz w:val="20"/>
                <w:szCs w:val="20"/>
                <w:lang w:val="en-GB"/>
              </w:rPr>
              <w:t xml:space="preserve"> about licenses</w:t>
            </w:r>
            <w:r>
              <w:rPr>
                <w:sz w:val="20"/>
                <w:szCs w:val="20"/>
                <w:lang w:val="en-GB"/>
              </w:rPr>
              <w:t xml:space="preserve">. </w:t>
            </w:r>
          </w:p>
        </w:tc>
      </w:tr>
      <w:tr w:rsidR="00AB6405" w:rsidRPr="006208E6">
        <w:trPr>
          <w:jc w:val="center"/>
        </w:trPr>
        <w:tc>
          <w:tcPr>
            <w:tcW w:w="2518" w:type="dxa"/>
            <w:vAlign w:val="center"/>
          </w:tcPr>
          <w:p w:rsidR="00AB6405" w:rsidRPr="00E565F1" w:rsidRDefault="00AB6405" w:rsidP="0004692B">
            <w:pPr>
              <w:pStyle w:val="KeinLeerraum"/>
              <w:rPr>
                <w:sz w:val="20"/>
                <w:szCs w:val="20"/>
                <w:lang w:val="en-GB"/>
              </w:rPr>
            </w:pP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meet</w:t>
            </w:r>
            <w:r>
              <w:rPr>
                <w:lang w:val="en-GB"/>
              </w:rPr>
              <w:t xml:space="preserve"> </w:t>
            </w:r>
            <w:r w:rsidRPr="00A5135B">
              <w:rPr>
                <w:lang w:val="en-GB"/>
              </w:rPr>
              <w:t>domain-relevant</w:t>
            </w:r>
            <w:r>
              <w:rPr>
                <w:lang w:val="en-GB"/>
              </w:rPr>
              <w:t xml:space="preserve"> </w:t>
            </w:r>
            <w:r w:rsidRPr="00A5135B">
              <w:rPr>
                <w:lang w:val="en-GB"/>
              </w:rPr>
              <w:t>community</w:t>
            </w:r>
            <w:r>
              <w:rPr>
                <w:lang w:val="en-GB"/>
              </w:rPr>
              <w:t xml:space="preserve"> </w:t>
            </w:r>
            <w:r w:rsidRPr="00A5135B">
              <w:rPr>
                <w:lang w:val="en-GB"/>
              </w:rPr>
              <w:t>standards.</w:t>
            </w:r>
          </w:p>
        </w:tc>
        <w:tc>
          <w:tcPr>
            <w:tcW w:w="2835" w:type="dxa"/>
            <w:vMerge/>
            <w:vAlign w:val="center"/>
          </w:tcPr>
          <w:p w:rsidR="00AB6405" w:rsidRPr="00E565F1" w:rsidRDefault="00AB6405" w:rsidP="0004692B">
            <w:pPr>
              <w:pStyle w:val="KeinLeerraum"/>
              <w:rPr>
                <w:sz w:val="20"/>
                <w:szCs w:val="20"/>
                <w:lang w:val="en-GB"/>
              </w:rPr>
            </w:pPr>
          </w:p>
        </w:tc>
        <w:tc>
          <w:tcPr>
            <w:tcW w:w="4002" w:type="dxa"/>
            <w:vAlign w:val="center"/>
          </w:tcPr>
          <w:p w:rsidR="00AB6405" w:rsidRPr="00E565F1" w:rsidRDefault="00AB6405" w:rsidP="001B075D">
            <w:pPr>
              <w:pStyle w:val="KeinLeerraum"/>
              <w:rPr>
                <w:sz w:val="20"/>
                <w:szCs w:val="20"/>
                <w:lang w:val="en-GB"/>
              </w:rPr>
            </w:pPr>
            <w:r>
              <w:rPr>
                <w:sz w:val="20"/>
                <w:szCs w:val="20"/>
                <w:lang w:val="en-GB"/>
              </w:rPr>
              <w:t>This is a rather vague formulation</w:t>
            </w:r>
            <w:r w:rsidR="00DB7190">
              <w:rPr>
                <w:sz w:val="20"/>
                <w:szCs w:val="20"/>
                <w:lang w:val="en-GB"/>
              </w:rPr>
              <w:t xml:space="preserve"> with which</w:t>
            </w:r>
            <w:r>
              <w:rPr>
                <w:sz w:val="20"/>
                <w:szCs w:val="20"/>
                <w:lang w:val="en-GB"/>
              </w:rPr>
              <w:t xml:space="preserve"> RDA can</w:t>
            </w:r>
            <w:r w:rsidR="00DB7190">
              <w:rPr>
                <w:sz w:val="20"/>
                <w:szCs w:val="20"/>
                <w:lang w:val="en-GB"/>
              </w:rPr>
              <w:t xml:space="preserve"> of course</w:t>
            </w:r>
            <w:r>
              <w:rPr>
                <w:sz w:val="20"/>
                <w:szCs w:val="20"/>
                <w:lang w:val="en-GB"/>
              </w:rPr>
              <w:t xml:space="preserve"> agree. However, there are so many md standards out there, that RD as a first output in the md domain created a registry of standards.</w:t>
            </w:r>
          </w:p>
        </w:tc>
      </w:tr>
    </w:tbl>
    <w:p w:rsidR="00A5135B" w:rsidRDefault="00A5135B" w:rsidP="00635DB3">
      <w:pPr>
        <w:pStyle w:val="KeinLeerraum"/>
        <w:jc w:val="both"/>
        <w:rPr>
          <w:lang w:val="en-GB"/>
        </w:rPr>
      </w:pPr>
    </w:p>
    <w:p w:rsidR="00AB6405" w:rsidRDefault="00AB6405" w:rsidP="00635DB3">
      <w:pPr>
        <w:pStyle w:val="KeinLeerraum"/>
        <w:jc w:val="both"/>
        <w:rPr>
          <w:lang w:val="en-GB"/>
        </w:rPr>
      </w:pPr>
      <w:r>
        <w:rPr>
          <w:lang w:val="en-GB"/>
        </w:rPr>
        <w:t>We can identify a few differences.</w:t>
      </w:r>
    </w:p>
    <w:p w:rsidR="00AB6405" w:rsidRDefault="00AB6405" w:rsidP="00AB6405">
      <w:pPr>
        <w:pStyle w:val="KeinLeerraum"/>
        <w:numPr>
          <w:ilvl w:val="0"/>
          <w:numId w:val="4"/>
        </w:numPr>
        <w:jc w:val="both"/>
        <w:rPr>
          <w:lang w:val="en-GB"/>
        </w:rPr>
      </w:pPr>
      <w:r>
        <w:rPr>
          <w:lang w:val="en-GB"/>
        </w:rPr>
        <w:t xml:space="preserve">FAIR statements about metadata </w:t>
      </w:r>
      <w:r w:rsidR="001B075D">
        <w:rPr>
          <w:lang w:val="en-GB"/>
        </w:rPr>
        <w:t xml:space="preserve">and data content </w:t>
      </w:r>
      <w:r>
        <w:rPr>
          <w:lang w:val="en-GB"/>
        </w:rPr>
        <w:t xml:space="preserve">are much more </w:t>
      </w:r>
      <w:r w:rsidR="00DB7190">
        <w:rPr>
          <w:lang w:val="en-GB"/>
        </w:rPr>
        <w:t xml:space="preserve">detailed and specific </w:t>
      </w:r>
      <w:r>
        <w:rPr>
          <w:lang w:val="en-GB"/>
        </w:rPr>
        <w:t xml:space="preserve">at this </w:t>
      </w:r>
      <w:r w:rsidR="00DB7190">
        <w:rPr>
          <w:lang w:val="en-GB"/>
        </w:rPr>
        <w:t xml:space="preserve">point </w:t>
      </w:r>
      <w:r>
        <w:rPr>
          <w:lang w:val="en-GB"/>
        </w:rPr>
        <w:t xml:space="preserve">than </w:t>
      </w:r>
      <w:r w:rsidR="00DB7190">
        <w:rPr>
          <w:lang w:val="en-GB"/>
        </w:rPr>
        <w:t xml:space="preserve">are </w:t>
      </w:r>
      <w:r>
        <w:rPr>
          <w:lang w:val="en-GB"/>
        </w:rPr>
        <w:t xml:space="preserve">the statements from RDA groups. However, we do not see any difference in </w:t>
      </w:r>
      <w:r w:rsidR="001B075D">
        <w:rPr>
          <w:lang w:val="en-GB"/>
        </w:rPr>
        <w:t xml:space="preserve">basic </w:t>
      </w:r>
      <w:r>
        <w:rPr>
          <w:lang w:val="en-GB"/>
        </w:rPr>
        <w:t>positions.</w:t>
      </w:r>
    </w:p>
    <w:p w:rsidR="0077742C" w:rsidRDefault="0077742C" w:rsidP="00AB6405">
      <w:pPr>
        <w:pStyle w:val="KeinLeerraum"/>
        <w:numPr>
          <w:ilvl w:val="0"/>
          <w:numId w:val="4"/>
        </w:numPr>
        <w:jc w:val="both"/>
        <w:rPr>
          <w:lang w:val="en-GB"/>
        </w:rPr>
      </w:pPr>
      <w:r>
        <w:rPr>
          <w:lang w:val="en-GB"/>
        </w:rPr>
        <w:t xml:space="preserve">FAIR requires persistence of metadata. Currently there is no agreement on this in RDA. It is widely agreed that relevant property information in the </w:t>
      </w:r>
      <w:proofErr w:type="spellStart"/>
      <w:r>
        <w:rPr>
          <w:lang w:val="en-GB"/>
        </w:rPr>
        <w:t>PID</w:t>
      </w:r>
      <w:proofErr w:type="spellEnd"/>
      <w:r>
        <w:rPr>
          <w:lang w:val="en-GB"/>
        </w:rPr>
        <w:t xml:space="preserve"> records </w:t>
      </w:r>
      <w:r w:rsidR="00DB7190">
        <w:rPr>
          <w:lang w:val="en-GB"/>
        </w:rPr>
        <w:t>must be</w:t>
      </w:r>
      <w:r>
        <w:rPr>
          <w:lang w:val="en-GB"/>
        </w:rPr>
        <w:t xml:space="preserve"> persistent.</w:t>
      </w:r>
    </w:p>
    <w:p w:rsidR="00AB6405" w:rsidRDefault="00AB6405" w:rsidP="00AB6405">
      <w:pPr>
        <w:pStyle w:val="KeinLeerraum"/>
        <w:numPr>
          <w:ilvl w:val="0"/>
          <w:numId w:val="4"/>
        </w:numPr>
        <w:jc w:val="both"/>
        <w:rPr>
          <w:lang w:val="en-GB"/>
        </w:rPr>
      </w:pPr>
      <w:r>
        <w:rPr>
          <w:lang w:val="en-GB"/>
        </w:rPr>
        <w:t xml:space="preserve">RDA </w:t>
      </w:r>
      <w:r w:rsidR="00DB7190">
        <w:rPr>
          <w:lang w:val="en-GB"/>
        </w:rPr>
        <w:t>differentiates</w:t>
      </w:r>
      <w:r>
        <w:rPr>
          <w:lang w:val="en-GB"/>
        </w:rPr>
        <w:t xml:space="preserve"> between types of metadata</w:t>
      </w:r>
      <w:r w:rsidR="00791C7B">
        <w:rPr>
          <w:lang w:val="en-GB"/>
        </w:rPr>
        <w:t>,</w:t>
      </w:r>
      <w:r>
        <w:rPr>
          <w:lang w:val="en-GB"/>
        </w:rPr>
        <w:t xml:space="preserve"> which will be crucial in the way we want to standardize and handle metadata. </w:t>
      </w:r>
      <w:proofErr w:type="spellStart"/>
      <w:r>
        <w:rPr>
          <w:lang w:val="en-GB"/>
        </w:rPr>
        <w:t>PID</w:t>
      </w:r>
      <w:proofErr w:type="spellEnd"/>
      <w:r>
        <w:rPr>
          <w:lang w:val="en-GB"/>
        </w:rPr>
        <w:t xml:space="preserve"> records</w:t>
      </w:r>
      <w:r w:rsidR="00791C7B">
        <w:rPr>
          <w:lang w:val="en-GB"/>
        </w:rPr>
        <w:t>,</w:t>
      </w:r>
      <w:r>
        <w:rPr>
          <w:lang w:val="en-GB"/>
        </w:rPr>
        <w:t xml:space="preserve"> for example</w:t>
      </w:r>
      <w:r w:rsidR="00791C7B">
        <w:rPr>
          <w:lang w:val="en-GB"/>
        </w:rPr>
        <w:t>,</w:t>
      </w:r>
      <w:r>
        <w:rPr>
          <w:lang w:val="en-GB"/>
        </w:rPr>
        <w:t xml:space="preserve"> should at least include the typical </w:t>
      </w:r>
      <w:r w:rsidR="00791C7B">
        <w:rPr>
          <w:lang w:val="en-GB"/>
        </w:rPr>
        <w:lastRenderedPageBreak/>
        <w:t>‘</w:t>
      </w:r>
      <w:r>
        <w:rPr>
          <w:lang w:val="en-GB"/>
        </w:rPr>
        <w:t>passport</w:t>
      </w:r>
      <w:r w:rsidR="00791C7B">
        <w:rPr>
          <w:lang w:val="en-GB"/>
        </w:rPr>
        <w:t>’</w:t>
      </w:r>
      <w:r>
        <w:rPr>
          <w:lang w:val="en-GB"/>
        </w:rPr>
        <w:t xml:space="preserve"> information (ID, fingerprint, dates, </w:t>
      </w:r>
      <w:proofErr w:type="gramStart"/>
      <w:r>
        <w:rPr>
          <w:lang w:val="en-GB"/>
        </w:rPr>
        <w:t>locations</w:t>
      </w:r>
      <w:proofErr w:type="gramEnd"/>
      <w:r>
        <w:rPr>
          <w:lang w:val="en-GB"/>
        </w:rPr>
        <w:t xml:space="preserve">) so that amongst others at every moment identity and integrity can be assessed. </w:t>
      </w:r>
    </w:p>
    <w:p w:rsidR="0077742C" w:rsidRDefault="0077742C" w:rsidP="00AB6405">
      <w:pPr>
        <w:pStyle w:val="KeinLeerraum"/>
        <w:numPr>
          <w:ilvl w:val="0"/>
          <w:numId w:val="4"/>
        </w:numPr>
        <w:jc w:val="both"/>
        <w:rPr>
          <w:lang w:val="en-GB"/>
        </w:rPr>
      </w:pPr>
      <w:r>
        <w:rPr>
          <w:lang w:val="en-GB"/>
        </w:rPr>
        <w:t>RDA defines the term “collection”</w:t>
      </w:r>
      <w:r w:rsidR="00791C7B">
        <w:rPr>
          <w:lang w:val="en-GB"/>
        </w:rPr>
        <w:t>.</w:t>
      </w:r>
      <w:r>
        <w:rPr>
          <w:lang w:val="en-GB"/>
        </w:rPr>
        <w:t xml:space="preserve"> </w:t>
      </w:r>
      <w:r w:rsidR="00791C7B">
        <w:rPr>
          <w:lang w:val="en-GB"/>
        </w:rPr>
        <w:t>T</w:t>
      </w:r>
      <w:r>
        <w:rPr>
          <w:lang w:val="en-GB"/>
        </w:rPr>
        <w:t xml:space="preserve">his </w:t>
      </w:r>
      <w:r w:rsidR="00791C7B">
        <w:rPr>
          <w:lang w:val="en-GB"/>
        </w:rPr>
        <w:t>is an</w:t>
      </w:r>
      <w:r>
        <w:rPr>
          <w:lang w:val="en-GB"/>
        </w:rPr>
        <w:t xml:space="preserve"> important</w:t>
      </w:r>
      <w:r w:rsidR="00791C7B">
        <w:rPr>
          <w:lang w:val="en-GB"/>
        </w:rPr>
        <w:t xml:space="preserve"> concept</w:t>
      </w:r>
      <w:r>
        <w:rPr>
          <w:lang w:val="en-GB"/>
        </w:rPr>
        <w:t xml:space="preserve"> since most of the management and analytics processes will be executed on collection</w:t>
      </w:r>
      <w:r w:rsidR="00791C7B">
        <w:rPr>
          <w:lang w:val="en-GB"/>
        </w:rPr>
        <w:t>s and, further,</w:t>
      </w:r>
      <w:r>
        <w:rPr>
          <w:lang w:val="en-GB"/>
        </w:rPr>
        <w:t xml:space="preserve"> collections a</w:t>
      </w:r>
      <w:r w:rsidR="00791C7B">
        <w:rPr>
          <w:lang w:val="en-GB"/>
        </w:rPr>
        <w:t>re</w:t>
      </w:r>
      <w:r>
        <w:rPr>
          <w:lang w:val="en-GB"/>
        </w:rPr>
        <w:t xml:space="preserve"> </w:t>
      </w:r>
      <w:r w:rsidR="00791C7B">
        <w:rPr>
          <w:lang w:val="en-GB"/>
        </w:rPr>
        <w:t xml:space="preserve">logically </w:t>
      </w:r>
      <w:r>
        <w:rPr>
          <w:lang w:val="en-GB"/>
        </w:rPr>
        <w:t>one type of DO.</w:t>
      </w:r>
    </w:p>
    <w:p w:rsidR="0077742C" w:rsidRDefault="0077742C" w:rsidP="0077742C">
      <w:pPr>
        <w:pStyle w:val="KeinLeerraum"/>
        <w:jc w:val="both"/>
        <w:rPr>
          <w:lang w:val="en-GB"/>
        </w:rPr>
      </w:pPr>
    </w:p>
    <w:p w:rsidR="00AB6405" w:rsidRDefault="0077742C" w:rsidP="00635DB3">
      <w:pPr>
        <w:pStyle w:val="KeinLeerraum"/>
        <w:jc w:val="both"/>
        <w:rPr>
          <w:lang w:val="en-GB"/>
        </w:rPr>
      </w:pPr>
      <w:r>
        <w:rPr>
          <w:lang w:val="en-GB"/>
        </w:rPr>
        <w:t xml:space="preserve">Given these small differences and the large overlap we believe that FAIR and RDA are </w:t>
      </w:r>
      <w:r w:rsidR="00902020">
        <w:rPr>
          <w:lang w:val="en-GB"/>
        </w:rPr>
        <w:t xml:space="preserve">in agreement </w:t>
      </w:r>
      <w:r>
        <w:rPr>
          <w:lang w:val="en-GB"/>
        </w:rPr>
        <w:t>on the same</w:t>
      </w:r>
      <w:r w:rsidR="00902020">
        <w:rPr>
          <w:lang w:val="en-GB"/>
        </w:rPr>
        <w:t xml:space="preserve"> basic</w:t>
      </w:r>
      <w:r>
        <w:rPr>
          <w:lang w:val="en-GB"/>
        </w:rPr>
        <w:t xml:space="preserve"> messages despite the differences in wording and </w:t>
      </w:r>
      <w:r w:rsidR="001B075D">
        <w:rPr>
          <w:lang w:val="en-GB"/>
        </w:rPr>
        <w:t>packag</w:t>
      </w:r>
      <w:r>
        <w:rPr>
          <w:lang w:val="en-GB"/>
        </w:rPr>
        <w:t xml:space="preserve">ing. RDA is busy formulating common agreements that are beyond the outputs of the RDA working and interest groups and we should closely synchronize with the FAIR initiative and also FAIR should closely synchronize with RDA. </w:t>
      </w:r>
    </w:p>
    <w:p w:rsidR="0077742C" w:rsidRDefault="001B075D" w:rsidP="001B075D">
      <w:pPr>
        <w:pStyle w:val="berschrift1"/>
        <w:rPr>
          <w:lang w:val="en-GB"/>
        </w:rPr>
      </w:pPr>
      <w:r>
        <w:rPr>
          <w:lang w:val="en-GB"/>
        </w:rPr>
        <w:t>Conclusions</w:t>
      </w:r>
    </w:p>
    <w:p w:rsidR="0077742C" w:rsidRDefault="0077742C" w:rsidP="00635DB3">
      <w:pPr>
        <w:pStyle w:val="KeinLeerraum"/>
        <w:jc w:val="both"/>
        <w:rPr>
          <w:lang w:val="en-GB"/>
        </w:rPr>
      </w:pPr>
      <w:r>
        <w:rPr>
          <w:lang w:val="en-GB"/>
        </w:rPr>
        <w:t>Most important for the data scientists and data managers in the thousands of labs doing data-driven science are unified messages where possible to reduce the amount of confusion and to create an atmosphere of innovation.</w:t>
      </w:r>
    </w:p>
    <w:p w:rsidR="00AB6405" w:rsidRDefault="00AB6405" w:rsidP="00635DB3">
      <w:pPr>
        <w:pStyle w:val="KeinLeerraum"/>
        <w:jc w:val="both"/>
        <w:rPr>
          <w:lang w:val="en-GB"/>
        </w:rPr>
      </w:pPr>
    </w:p>
    <w:p w:rsidR="00F95187" w:rsidRDefault="001B075D" w:rsidP="00635DB3">
      <w:pPr>
        <w:pStyle w:val="KeinLeerraum"/>
        <w:jc w:val="both"/>
        <w:rPr>
          <w:lang w:val="en-GB"/>
        </w:rPr>
      </w:pPr>
      <w:r>
        <w:rPr>
          <w:lang w:val="en-GB"/>
        </w:rPr>
        <w:t>RDA will continue finding agreements on data principles and also components within RDA, but also look for agreements with other initiatives. Therefore, the FAIR principles will be brought in into the discussions of RD</w:t>
      </w:r>
      <w:r w:rsidR="00375B11">
        <w:rPr>
          <w:lang w:val="en-GB"/>
        </w:rPr>
        <w:t>A</w:t>
      </w:r>
      <w:r>
        <w:rPr>
          <w:lang w:val="en-GB"/>
        </w:rPr>
        <w:t xml:space="preserve"> groups to seek support where RDA</w:t>
      </w:r>
      <w:r w:rsidR="00375B11">
        <w:rPr>
          <w:lang w:val="en-GB"/>
        </w:rPr>
        <w:t>,</w:t>
      </w:r>
      <w:r>
        <w:rPr>
          <w:lang w:val="en-GB"/>
        </w:rPr>
        <w:t xml:space="preserve"> until now</w:t>
      </w:r>
      <w:r w:rsidR="00375B11">
        <w:rPr>
          <w:lang w:val="en-GB"/>
        </w:rPr>
        <w:t>,</w:t>
      </w:r>
      <w:r>
        <w:rPr>
          <w:lang w:val="en-GB"/>
        </w:rPr>
        <w:t xml:space="preserve"> is not explicit. </w:t>
      </w:r>
      <w:r w:rsidR="00BE7ADD">
        <w:rPr>
          <w:lang w:val="en-GB"/>
        </w:rPr>
        <w:t>RDA will continue to invite key people behind FAIR principles to do cross-fertilization and it will refer to the FAIR principles where applicable.</w:t>
      </w:r>
    </w:p>
    <w:p w:rsidR="00BE7ADD" w:rsidRDefault="00BE7ADD" w:rsidP="00635DB3">
      <w:pPr>
        <w:pStyle w:val="KeinLeerraum"/>
        <w:jc w:val="both"/>
        <w:rPr>
          <w:lang w:val="en-GB"/>
        </w:rPr>
      </w:pPr>
    </w:p>
    <w:p w:rsidR="00F95187" w:rsidRPr="00747AFA" w:rsidRDefault="00BE7ADD" w:rsidP="00635DB3">
      <w:pPr>
        <w:pStyle w:val="KeinLeerraum"/>
        <w:jc w:val="both"/>
        <w:rPr>
          <w:lang w:val="en-GB"/>
        </w:rPr>
      </w:pPr>
      <w:r>
        <w:rPr>
          <w:lang w:val="en-GB"/>
        </w:rPr>
        <w:t xml:space="preserve">To overcome the huge fragmentation and to turn results and statements of initiatives into recommendations </w:t>
      </w:r>
      <w:r w:rsidR="00375B11">
        <w:rPr>
          <w:lang w:val="en-GB"/>
        </w:rPr>
        <w:t>to</w:t>
      </w:r>
      <w:r>
        <w:rPr>
          <w:lang w:val="en-GB"/>
        </w:rPr>
        <w:t xml:space="preserve"> funders to finally increase interoperability and reduce costs of infrastructure building it is obvious that we need to take all chances to identify agreements across initiatives.</w:t>
      </w:r>
    </w:p>
    <w:p w:rsidR="00A5135B" w:rsidRDefault="00A5135B" w:rsidP="00A5135B">
      <w:pPr>
        <w:pStyle w:val="KeinLeerraum"/>
        <w:rPr>
          <w:lang w:val="en-GB"/>
        </w:rPr>
      </w:pPr>
    </w:p>
    <w:p w:rsidR="00A230E5" w:rsidRPr="001820B5" w:rsidRDefault="00A230E5" w:rsidP="00701CFF">
      <w:pPr>
        <w:autoSpaceDE w:val="0"/>
        <w:autoSpaceDN w:val="0"/>
        <w:adjustRightInd w:val="0"/>
        <w:spacing w:after="0" w:line="240" w:lineRule="auto"/>
        <w:rPr>
          <w:rFonts w:ascii="Calibri" w:hAnsi="Calibri" w:cs="Calibri"/>
          <w:lang w:val="en-GB"/>
        </w:rPr>
      </w:pPr>
      <w:r w:rsidRPr="001820B5">
        <w:rPr>
          <w:lang w:val="en-GB"/>
        </w:rPr>
        <w:t xml:space="preserve">[1] </w:t>
      </w:r>
      <w:r w:rsidR="00701CFF" w:rsidRPr="001820B5">
        <w:rPr>
          <w:lang w:val="en-GB"/>
        </w:rPr>
        <w:t xml:space="preserve">RDA Europe: Data Practices Analysis: </w:t>
      </w:r>
      <w:hyperlink r:id="rId9" w:history="1">
        <w:r w:rsidR="00701CFF" w:rsidRPr="001820B5">
          <w:rPr>
            <w:rFonts w:ascii="Calibri" w:hAnsi="Calibri" w:cs="Calibri"/>
            <w:color w:val="000000"/>
            <w:lang w:val="en-GB"/>
          </w:rPr>
          <w:t>http://</w:t>
        </w:r>
        <w:proofErr w:type="spellStart"/>
        <w:r w:rsidR="00701CFF" w:rsidRPr="001820B5">
          <w:rPr>
            <w:rFonts w:ascii="Calibri" w:hAnsi="Calibri" w:cs="Calibri"/>
            <w:color w:val="000000"/>
            <w:lang w:val="en-GB"/>
          </w:rPr>
          <w:t>hdl.handle.net</w:t>
        </w:r>
        <w:proofErr w:type="spellEnd"/>
        <w:r w:rsidR="00701CFF" w:rsidRPr="001820B5">
          <w:rPr>
            <w:rFonts w:ascii="Calibri" w:hAnsi="Calibri" w:cs="Calibri"/>
            <w:color w:val="000000"/>
            <w:lang w:val="en-GB"/>
          </w:rPr>
          <w:t>/11304/</w:t>
        </w:r>
        <w:proofErr w:type="spellStart"/>
        <w:r w:rsidR="00701CFF" w:rsidRPr="001820B5">
          <w:rPr>
            <w:rFonts w:ascii="Calibri" w:hAnsi="Calibri" w:cs="Calibri"/>
            <w:color w:val="000000"/>
            <w:lang w:val="en-GB"/>
          </w:rPr>
          <w:t>6e1424cc</w:t>
        </w:r>
        <w:proofErr w:type="spellEnd"/>
        <w:r w:rsidR="00701CFF" w:rsidRPr="001820B5">
          <w:rPr>
            <w:rFonts w:ascii="Calibri" w:hAnsi="Calibri" w:cs="Calibri"/>
            <w:color w:val="000000"/>
            <w:lang w:val="en-GB"/>
          </w:rPr>
          <w:t>-8927-</w:t>
        </w:r>
        <w:proofErr w:type="spellStart"/>
        <w:r w:rsidR="00701CFF" w:rsidRPr="001820B5">
          <w:rPr>
            <w:rFonts w:ascii="Calibri" w:hAnsi="Calibri" w:cs="Calibri"/>
            <w:color w:val="000000"/>
            <w:lang w:val="en-GB"/>
          </w:rPr>
          <w:t>11e4</w:t>
        </w:r>
        <w:proofErr w:type="spellEnd"/>
        <w:r w:rsidR="00701CFF" w:rsidRPr="001820B5">
          <w:rPr>
            <w:rFonts w:ascii="Calibri" w:hAnsi="Calibri" w:cs="Calibri"/>
            <w:color w:val="000000"/>
            <w:lang w:val="en-GB"/>
          </w:rPr>
          <w:t>-</w:t>
        </w:r>
        <w:proofErr w:type="spellStart"/>
        <w:r w:rsidR="00701CFF" w:rsidRPr="001820B5">
          <w:rPr>
            <w:rFonts w:ascii="Calibri" w:hAnsi="Calibri" w:cs="Calibri"/>
            <w:color w:val="000000"/>
            <w:lang w:val="en-GB"/>
          </w:rPr>
          <w:t>ac7e-860aa0063d1f</w:t>
        </w:r>
        <w:proofErr w:type="spellEnd"/>
      </w:hyperlink>
    </w:p>
    <w:p w:rsidR="00A230E5" w:rsidRDefault="00A230E5" w:rsidP="00A230E5">
      <w:pPr>
        <w:pStyle w:val="KeinLeerraum"/>
        <w:rPr>
          <w:lang w:val="en-GB"/>
        </w:rPr>
      </w:pPr>
      <w:r>
        <w:rPr>
          <w:lang w:val="en-GB"/>
        </w:rPr>
        <w:t>[2] Riding the Wave</w:t>
      </w:r>
      <w:r w:rsidR="00701CFF">
        <w:rPr>
          <w:lang w:val="en-GB"/>
        </w:rPr>
        <w:t xml:space="preserve">: </w:t>
      </w:r>
      <w:hyperlink r:id="rId10" w:history="1">
        <w:r w:rsidR="00701CFF" w:rsidRPr="00D41842">
          <w:rPr>
            <w:rStyle w:val="Hyperlink"/>
            <w:lang w:val="en-GB"/>
          </w:rPr>
          <w:t>https://www.fosteropenscience.eu/content/riding-wave-how-europe-can-gain-rising-tide-scientific-data</w:t>
        </w:r>
      </w:hyperlink>
      <w:r w:rsidR="00701CFF">
        <w:rPr>
          <w:lang w:val="en-GB"/>
        </w:rPr>
        <w:t xml:space="preserve"> </w:t>
      </w:r>
    </w:p>
    <w:p w:rsidR="00A230E5" w:rsidRDefault="00A230E5" w:rsidP="00A230E5">
      <w:pPr>
        <w:pStyle w:val="KeinLeerraum"/>
        <w:rPr>
          <w:lang w:val="en-GB"/>
        </w:rPr>
      </w:pPr>
      <w:r>
        <w:rPr>
          <w:lang w:val="en-GB"/>
        </w:rPr>
        <w:t>[3] Data Harvest</w:t>
      </w:r>
      <w:r w:rsidR="00701CFF">
        <w:rPr>
          <w:lang w:val="en-GB"/>
        </w:rPr>
        <w:t xml:space="preserve"> Report: </w:t>
      </w:r>
      <w:hyperlink r:id="rId11" w:history="1">
        <w:r w:rsidR="00701CFF" w:rsidRPr="00D41842">
          <w:rPr>
            <w:rStyle w:val="Hyperlink"/>
            <w:lang w:val="en-GB"/>
          </w:rPr>
          <w:t>https://rd-alliance.org/data-harvest-report-sharing-data-knowledge-jobs-and-growth.html</w:t>
        </w:r>
      </w:hyperlink>
      <w:r w:rsidR="00701CFF">
        <w:rPr>
          <w:lang w:val="en-GB"/>
        </w:rPr>
        <w:t xml:space="preserve"> </w:t>
      </w:r>
    </w:p>
    <w:p w:rsidR="00A230E5" w:rsidRPr="00701CFF" w:rsidRDefault="00A230E5" w:rsidP="00A230E5">
      <w:pPr>
        <w:pStyle w:val="KeinLeerraum"/>
        <w:rPr>
          <w:lang w:val="en-GB"/>
        </w:rPr>
      </w:pPr>
      <w:r w:rsidRPr="00701CFF">
        <w:rPr>
          <w:lang w:val="en-GB"/>
        </w:rPr>
        <w:t xml:space="preserve">[4] Herman Stehouwer, Peter Wittenburg, </w:t>
      </w:r>
      <w:r w:rsidR="00701CFF" w:rsidRPr="00701CFF">
        <w:rPr>
          <w:lang w:val="en-GB"/>
        </w:rPr>
        <w:t>Principles for Data Sharing and Re-use: are they all the same</w:t>
      </w:r>
      <w:proofErr w:type="gramStart"/>
      <w:r w:rsidR="00701CFF" w:rsidRPr="00701CFF">
        <w:rPr>
          <w:lang w:val="en-GB"/>
        </w:rPr>
        <w:t>?</w:t>
      </w:r>
      <w:r w:rsidR="00701CFF">
        <w:rPr>
          <w:lang w:val="en-GB"/>
        </w:rPr>
        <w:t>,</w:t>
      </w:r>
      <w:proofErr w:type="gramEnd"/>
      <w:r w:rsidR="00701CFF">
        <w:rPr>
          <w:lang w:val="en-GB"/>
        </w:rPr>
        <w:t xml:space="preserve"> </w:t>
      </w:r>
      <w:hyperlink r:id="rId12" w:history="1">
        <w:r w:rsidRPr="00701CFF">
          <w:rPr>
            <w:rFonts w:ascii="Calibri" w:hAnsi="Calibri" w:cs="Calibri"/>
            <w:color w:val="000000"/>
            <w:lang w:val="en-GB"/>
          </w:rPr>
          <w:t>http</w:t>
        </w:r>
        <w:r w:rsidRPr="00701CFF">
          <w:rPr>
            <w:rFonts w:ascii="Calibri" w:hAnsi="Calibri" w:cs="Calibri"/>
            <w:color w:val="000000"/>
            <w:lang w:val="en-GB"/>
          </w:rPr>
          <w:t>:</w:t>
        </w:r>
        <w:r w:rsidRPr="00701CFF">
          <w:rPr>
            <w:rFonts w:ascii="Calibri" w:hAnsi="Calibri" w:cs="Calibri"/>
            <w:color w:val="000000"/>
            <w:lang w:val="en-GB"/>
          </w:rPr>
          <w:t>//</w:t>
        </w:r>
        <w:proofErr w:type="spellStart"/>
        <w:r w:rsidRPr="00701CFF">
          <w:rPr>
            <w:rFonts w:ascii="Calibri" w:hAnsi="Calibri" w:cs="Calibri"/>
            <w:color w:val="000000"/>
            <w:lang w:val="en-GB"/>
          </w:rPr>
          <w:t>hdl.handle.net</w:t>
        </w:r>
        <w:proofErr w:type="spellEnd"/>
        <w:r w:rsidRPr="00701CFF">
          <w:rPr>
            <w:rFonts w:ascii="Calibri" w:hAnsi="Calibri" w:cs="Calibri"/>
            <w:color w:val="000000"/>
            <w:lang w:val="en-GB"/>
          </w:rPr>
          <w:t>/11304/</w:t>
        </w:r>
        <w:proofErr w:type="spellStart"/>
        <w:r w:rsidRPr="00701CFF">
          <w:rPr>
            <w:rFonts w:ascii="Calibri" w:hAnsi="Calibri" w:cs="Calibri"/>
            <w:color w:val="000000"/>
            <w:lang w:val="en-GB"/>
          </w:rPr>
          <w:t>1aab3df4-f3ce-11e4-ac7e-860aa0063d1f</w:t>
        </w:r>
        <w:proofErr w:type="spellEnd"/>
      </w:hyperlink>
      <w:r w:rsidRPr="00701CFF">
        <w:rPr>
          <w:rFonts w:ascii="Calibri" w:hAnsi="Calibri" w:cs="Calibri"/>
          <w:color w:val="000000"/>
          <w:lang w:val="en-GB"/>
        </w:rPr>
        <w:t xml:space="preserve"> </w:t>
      </w:r>
    </w:p>
    <w:p w:rsidR="00A230E5" w:rsidRPr="00701CFF" w:rsidRDefault="00A230E5" w:rsidP="00A5135B">
      <w:pPr>
        <w:pStyle w:val="KeinLeerraum"/>
        <w:rPr>
          <w:lang w:val="en-GB"/>
        </w:rPr>
      </w:pPr>
    </w:p>
    <w:p w:rsidR="00A230E5" w:rsidRPr="00701CFF" w:rsidRDefault="00A230E5" w:rsidP="00A5135B">
      <w:pPr>
        <w:pStyle w:val="KeinLeerraum"/>
        <w:rPr>
          <w:lang w:val="en-GB"/>
        </w:rPr>
      </w:pPr>
    </w:p>
    <w:p w:rsidR="00A5135B" w:rsidRPr="00701CFF" w:rsidRDefault="00A5135B">
      <w:pPr>
        <w:rPr>
          <w:lang w:val="en-GB"/>
        </w:rPr>
      </w:pPr>
      <w:r w:rsidRPr="00701CFF">
        <w:rPr>
          <w:lang w:val="en-GB"/>
        </w:rPr>
        <w:br w:type="page"/>
      </w:r>
    </w:p>
    <w:p w:rsidR="00A5135B" w:rsidRDefault="00A5135B" w:rsidP="00A5135B">
      <w:pPr>
        <w:pStyle w:val="berschrift1"/>
        <w:rPr>
          <w:lang w:val="en-GB"/>
        </w:rPr>
      </w:pPr>
      <w:r>
        <w:rPr>
          <w:lang w:val="en-GB"/>
        </w:rPr>
        <w:lastRenderedPageBreak/>
        <w:t xml:space="preserve">Annex A: FAIR Principles </w:t>
      </w:r>
    </w:p>
    <w:p w:rsidR="00A5135B" w:rsidRPr="00A5135B" w:rsidRDefault="00177350" w:rsidP="00A5135B">
      <w:pPr>
        <w:rPr>
          <w:lang w:val="en-GB"/>
        </w:rPr>
      </w:pPr>
      <w:hyperlink r:id="rId13" w:history="1">
        <w:r w:rsidR="00A5135B" w:rsidRPr="004629F1">
          <w:rPr>
            <w:rStyle w:val="Hyperlink"/>
            <w:lang w:val="en-GB"/>
          </w:rPr>
          <w:t>https://</w:t>
        </w:r>
        <w:proofErr w:type="spellStart"/>
        <w:r w:rsidR="00A5135B" w:rsidRPr="004629F1">
          <w:rPr>
            <w:rStyle w:val="Hyperlink"/>
            <w:lang w:val="en-GB"/>
          </w:rPr>
          <w:t>www.force11.org</w:t>
        </w:r>
        <w:proofErr w:type="spellEnd"/>
        <w:r w:rsidR="00A5135B" w:rsidRPr="004629F1">
          <w:rPr>
            <w:rStyle w:val="Hyperlink"/>
            <w:lang w:val="en-GB"/>
          </w:rPr>
          <w:t>/group/</w:t>
        </w:r>
        <w:proofErr w:type="spellStart"/>
        <w:r w:rsidR="00A5135B" w:rsidRPr="004629F1">
          <w:rPr>
            <w:rStyle w:val="Hyperlink"/>
            <w:lang w:val="en-GB"/>
          </w:rPr>
          <w:t>fairgroup</w:t>
        </w:r>
        <w:proofErr w:type="spellEnd"/>
        <w:r w:rsidR="00A5135B" w:rsidRPr="004629F1">
          <w:rPr>
            <w:rStyle w:val="Hyperlink"/>
            <w:lang w:val="en-GB"/>
          </w:rPr>
          <w:t>/</w:t>
        </w:r>
        <w:proofErr w:type="spellStart"/>
        <w:r w:rsidR="00A5135B" w:rsidRPr="004629F1">
          <w:rPr>
            <w:rStyle w:val="Hyperlink"/>
            <w:lang w:val="en-GB"/>
          </w:rPr>
          <w:t>fairprinciples</w:t>
        </w:r>
        <w:proofErr w:type="spellEnd"/>
      </w:hyperlink>
      <w:r w:rsidR="00A5135B">
        <w:rPr>
          <w:lang w:val="en-GB"/>
        </w:rPr>
        <w:t xml:space="preserve"> </w:t>
      </w:r>
    </w:p>
    <w:p w:rsidR="00A5135B" w:rsidRPr="00A5135B" w:rsidRDefault="00A5135B" w:rsidP="00A5135B">
      <w:pPr>
        <w:pStyle w:val="StandardWeb"/>
        <w:rPr>
          <w:lang w:val="en-GB"/>
        </w:rPr>
      </w:pPr>
      <w:r w:rsidRPr="00A5135B">
        <w:rPr>
          <w:rStyle w:val="Fett"/>
          <w:lang w:val="en-GB"/>
        </w:rPr>
        <w:t>Preamble</w:t>
      </w:r>
    </w:p>
    <w:p w:rsidR="00A5135B" w:rsidRPr="00A5135B" w:rsidRDefault="00A5135B" w:rsidP="00A5135B">
      <w:pPr>
        <w:pStyle w:val="StandardWeb"/>
        <w:rPr>
          <w:lang w:val="en-GB"/>
        </w:rPr>
      </w:pPr>
      <w:r w:rsidRPr="00A5135B">
        <w:rPr>
          <w:lang w:val="en-GB"/>
        </w:rPr>
        <w:t>One</w:t>
      </w:r>
      <w:r>
        <w:rPr>
          <w:lang w:val="en-GB"/>
        </w:rPr>
        <w:t xml:space="preserve"> </w:t>
      </w:r>
      <w:r w:rsidRPr="00A5135B">
        <w:rPr>
          <w:lang w:val="en-GB"/>
        </w:rPr>
        <w:t>of</w:t>
      </w:r>
      <w:r>
        <w:rPr>
          <w:lang w:val="en-GB"/>
        </w:rPr>
        <w:t xml:space="preserve"> </w:t>
      </w:r>
      <w:r w:rsidRPr="00A5135B">
        <w:rPr>
          <w:lang w:val="en-GB"/>
        </w:rPr>
        <w:t>the</w:t>
      </w:r>
      <w:r>
        <w:rPr>
          <w:lang w:val="en-GB"/>
        </w:rPr>
        <w:t xml:space="preserve"> </w:t>
      </w:r>
      <w:r w:rsidRPr="00A5135B">
        <w:rPr>
          <w:lang w:val="en-GB"/>
        </w:rPr>
        <w:t>grand</w:t>
      </w:r>
      <w:r>
        <w:rPr>
          <w:lang w:val="en-GB"/>
        </w:rPr>
        <w:t xml:space="preserve"> </w:t>
      </w:r>
      <w:r w:rsidRPr="00A5135B">
        <w:rPr>
          <w:lang w:val="en-GB"/>
        </w:rPr>
        <w:t>challenges</w:t>
      </w:r>
      <w:r>
        <w:rPr>
          <w:lang w:val="en-GB"/>
        </w:rPr>
        <w:t xml:space="preserve"> </w:t>
      </w:r>
      <w:r w:rsidRPr="00A5135B">
        <w:rPr>
          <w:lang w:val="en-GB"/>
        </w:rPr>
        <w:t>of</w:t>
      </w:r>
      <w:r>
        <w:rPr>
          <w:lang w:val="en-GB"/>
        </w:rPr>
        <w:t xml:space="preserve"> </w:t>
      </w:r>
      <w:r w:rsidRPr="00A5135B">
        <w:rPr>
          <w:lang w:val="en-GB"/>
        </w:rPr>
        <w:t>data-intensive</w:t>
      </w:r>
      <w:r>
        <w:rPr>
          <w:lang w:val="en-GB"/>
        </w:rPr>
        <w:t xml:space="preserve"> </w:t>
      </w:r>
      <w:r w:rsidRPr="00A5135B">
        <w:rPr>
          <w:lang w:val="en-GB"/>
        </w:rPr>
        <w:t>science</w:t>
      </w:r>
      <w:r>
        <w:rPr>
          <w:lang w:val="en-GB"/>
        </w:rPr>
        <w:t xml:space="preserve"> </w:t>
      </w:r>
      <w:r w:rsidRPr="00A5135B">
        <w:rPr>
          <w:lang w:val="en-GB"/>
        </w:rPr>
        <w:t>is</w:t>
      </w:r>
      <w:r>
        <w:rPr>
          <w:lang w:val="en-GB"/>
        </w:rPr>
        <w:t xml:space="preserve"> </w:t>
      </w:r>
      <w:r w:rsidRPr="00A5135B">
        <w:rPr>
          <w:lang w:val="en-GB"/>
        </w:rPr>
        <w:t>to</w:t>
      </w:r>
      <w:r>
        <w:rPr>
          <w:lang w:val="en-GB"/>
        </w:rPr>
        <w:t xml:space="preserve"> </w:t>
      </w:r>
      <w:r w:rsidRPr="00A5135B">
        <w:rPr>
          <w:lang w:val="en-GB"/>
        </w:rPr>
        <w:t>facilitate</w:t>
      </w:r>
      <w:r>
        <w:rPr>
          <w:lang w:val="en-GB"/>
        </w:rPr>
        <w:t xml:space="preserve"> </w:t>
      </w:r>
      <w:r w:rsidRPr="00A5135B">
        <w:rPr>
          <w:lang w:val="en-GB"/>
        </w:rPr>
        <w:t>knowledge</w:t>
      </w:r>
      <w:r>
        <w:rPr>
          <w:lang w:val="en-GB"/>
        </w:rPr>
        <w:t xml:space="preserve"> </w:t>
      </w:r>
      <w:r w:rsidRPr="00A5135B">
        <w:rPr>
          <w:lang w:val="en-GB"/>
        </w:rPr>
        <w:t>discovery</w:t>
      </w:r>
      <w:r>
        <w:rPr>
          <w:lang w:val="en-GB"/>
        </w:rPr>
        <w:t xml:space="preserve"> </w:t>
      </w:r>
      <w:r w:rsidRPr="00A5135B">
        <w:rPr>
          <w:lang w:val="en-GB"/>
        </w:rPr>
        <w:t>by</w:t>
      </w:r>
      <w:r>
        <w:rPr>
          <w:lang w:val="en-GB"/>
        </w:rPr>
        <w:t xml:space="preserve"> </w:t>
      </w:r>
      <w:r w:rsidRPr="00A5135B">
        <w:rPr>
          <w:lang w:val="en-GB"/>
        </w:rPr>
        <w:t>assisting</w:t>
      </w:r>
      <w:r>
        <w:rPr>
          <w:lang w:val="en-GB"/>
        </w:rPr>
        <w:t xml:space="preserve"> </w:t>
      </w:r>
      <w:r w:rsidRPr="00A5135B">
        <w:rPr>
          <w:lang w:val="en-GB"/>
        </w:rPr>
        <w:t>humans</w:t>
      </w:r>
      <w:r>
        <w:rPr>
          <w:lang w:val="en-GB"/>
        </w:rPr>
        <w:t xml:space="preserve"> </w:t>
      </w:r>
      <w:r w:rsidRPr="00A5135B">
        <w:rPr>
          <w:lang w:val="en-GB"/>
        </w:rPr>
        <w:t>and</w:t>
      </w:r>
      <w:r>
        <w:rPr>
          <w:lang w:val="en-GB"/>
        </w:rPr>
        <w:t xml:space="preserve"> </w:t>
      </w:r>
      <w:r w:rsidRPr="00A5135B">
        <w:rPr>
          <w:lang w:val="en-GB"/>
        </w:rPr>
        <w:t>machines</w:t>
      </w:r>
      <w:r>
        <w:rPr>
          <w:lang w:val="en-GB"/>
        </w:rPr>
        <w:t xml:space="preserve"> </w:t>
      </w:r>
      <w:r w:rsidRPr="00A5135B">
        <w:rPr>
          <w:lang w:val="en-GB"/>
        </w:rPr>
        <w:t>in</w:t>
      </w:r>
      <w:r>
        <w:rPr>
          <w:lang w:val="en-GB"/>
        </w:rPr>
        <w:t xml:space="preserve"> </w:t>
      </w:r>
      <w:r w:rsidRPr="00A5135B">
        <w:rPr>
          <w:lang w:val="en-GB"/>
        </w:rPr>
        <w:t>their</w:t>
      </w:r>
      <w:r>
        <w:rPr>
          <w:lang w:val="en-GB"/>
        </w:rPr>
        <w:t xml:space="preserve"> </w:t>
      </w:r>
      <w:r w:rsidRPr="00A5135B">
        <w:rPr>
          <w:lang w:val="en-GB"/>
        </w:rPr>
        <w:t>discovery</w:t>
      </w:r>
      <w:r>
        <w:rPr>
          <w:lang w:val="en-GB"/>
        </w:rPr>
        <w:t xml:space="preserve"> </w:t>
      </w:r>
      <w:r w:rsidRPr="00A5135B">
        <w:rPr>
          <w:lang w:val="en-GB"/>
        </w:rPr>
        <w:t>of,</w:t>
      </w:r>
      <w:r>
        <w:rPr>
          <w:lang w:val="en-GB"/>
        </w:rPr>
        <w:t xml:space="preserve"> </w:t>
      </w:r>
      <w:r w:rsidRPr="00A5135B">
        <w:rPr>
          <w:lang w:val="en-GB"/>
        </w:rPr>
        <w:t>access</w:t>
      </w:r>
      <w:r>
        <w:rPr>
          <w:lang w:val="en-GB"/>
        </w:rPr>
        <w:t xml:space="preserve"> </w:t>
      </w:r>
      <w:r w:rsidRPr="00A5135B">
        <w:rPr>
          <w:lang w:val="en-GB"/>
        </w:rPr>
        <w:t>to,</w:t>
      </w:r>
      <w:r>
        <w:rPr>
          <w:lang w:val="en-GB"/>
        </w:rPr>
        <w:t xml:space="preserve"> </w:t>
      </w:r>
      <w:r w:rsidRPr="00A5135B">
        <w:rPr>
          <w:lang w:val="en-GB"/>
        </w:rPr>
        <w:t>integration</w:t>
      </w:r>
      <w:r>
        <w:rPr>
          <w:lang w:val="en-GB"/>
        </w:rPr>
        <w:t xml:space="preserve"> </w:t>
      </w:r>
      <w:r w:rsidRPr="00A5135B">
        <w:rPr>
          <w:lang w:val="en-GB"/>
        </w:rPr>
        <w:t>and</w:t>
      </w:r>
      <w:r>
        <w:rPr>
          <w:lang w:val="en-GB"/>
        </w:rPr>
        <w:t xml:space="preserve"> </w:t>
      </w:r>
      <w:r w:rsidRPr="00A5135B">
        <w:rPr>
          <w:lang w:val="en-GB"/>
        </w:rPr>
        <w:t>analysis</w:t>
      </w:r>
      <w:r>
        <w:rPr>
          <w:lang w:val="en-GB"/>
        </w:rPr>
        <w:t xml:space="preserve"> </w:t>
      </w:r>
      <w:r w:rsidRPr="00A5135B">
        <w:rPr>
          <w:lang w:val="en-GB"/>
        </w:rPr>
        <w:t>of,</w:t>
      </w:r>
      <w:r>
        <w:rPr>
          <w:lang w:val="en-GB"/>
        </w:rPr>
        <w:t xml:space="preserve"> </w:t>
      </w:r>
      <w:r w:rsidRPr="00A5135B">
        <w:rPr>
          <w:lang w:val="en-GB"/>
        </w:rPr>
        <w:t>task-appropriate</w:t>
      </w:r>
      <w:r>
        <w:rPr>
          <w:lang w:val="en-GB"/>
        </w:rPr>
        <w:t xml:space="preserve"> </w:t>
      </w:r>
      <w:r w:rsidRPr="00A5135B">
        <w:rPr>
          <w:lang w:val="en-GB"/>
        </w:rPr>
        <w:t>scientific</w:t>
      </w:r>
      <w:r>
        <w:rPr>
          <w:lang w:val="en-GB"/>
        </w:rPr>
        <w:t xml:space="preserve"> </w:t>
      </w:r>
      <w:r w:rsidRPr="00A5135B">
        <w:rPr>
          <w:lang w:val="en-GB"/>
        </w:rPr>
        <w:t>data</w:t>
      </w:r>
      <w:r>
        <w:rPr>
          <w:lang w:val="en-GB"/>
        </w:rPr>
        <w:t xml:space="preserve"> </w:t>
      </w:r>
      <w:r w:rsidRPr="00A5135B">
        <w:rPr>
          <w:lang w:val="en-GB"/>
        </w:rPr>
        <w:t>and</w:t>
      </w:r>
      <w:r>
        <w:rPr>
          <w:lang w:val="en-GB"/>
        </w:rPr>
        <w:t xml:space="preserve"> </w:t>
      </w:r>
      <w:r w:rsidRPr="00A5135B">
        <w:rPr>
          <w:lang w:val="en-GB"/>
        </w:rPr>
        <w:t>their</w:t>
      </w:r>
      <w:r>
        <w:rPr>
          <w:lang w:val="en-GB"/>
        </w:rPr>
        <w:t xml:space="preserve"> </w:t>
      </w:r>
      <w:r w:rsidRPr="00A5135B">
        <w:rPr>
          <w:lang w:val="en-GB"/>
        </w:rPr>
        <w:t>associated</w:t>
      </w:r>
      <w:r>
        <w:rPr>
          <w:lang w:val="en-GB"/>
        </w:rPr>
        <w:t xml:space="preserve"> </w:t>
      </w:r>
      <w:r w:rsidRPr="00A5135B">
        <w:rPr>
          <w:lang w:val="en-GB"/>
        </w:rPr>
        <w:t>algorithms</w:t>
      </w:r>
      <w:r>
        <w:rPr>
          <w:lang w:val="en-GB"/>
        </w:rPr>
        <w:t xml:space="preserve"> </w:t>
      </w:r>
      <w:r w:rsidRPr="00A5135B">
        <w:rPr>
          <w:lang w:val="en-GB"/>
        </w:rPr>
        <w:t>and</w:t>
      </w:r>
      <w:r>
        <w:rPr>
          <w:lang w:val="en-GB"/>
        </w:rPr>
        <w:t xml:space="preserve"> </w:t>
      </w:r>
      <w:r w:rsidRPr="00A5135B">
        <w:rPr>
          <w:lang w:val="en-GB"/>
        </w:rPr>
        <w:t>workflows.</w:t>
      </w:r>
      <w:r>
        <w:rPr>
          <w:lang w:val="en-GB"/>
        </w:rPr>
        <w:t xml:space="preserve"> </w:t>
      </w:r>
      <w:r w:rsidRPr="00A5135B">
        <w:rPr>
          <w:lang w:val="en-GB"/>
        </w:rPr>
        <w:t>Here,</w:t>
      </w:r>
      <w:r>
        <w:rPr>
          <w:lang w:val="en-GB"/>
        </w:rPr>
        <w:t xml:space="preserve"> </w:t>
      </w:r>
      <w:r w:rsidRPr="00A5135B">
        <w:rPr>
          <w:lang w:val="en-GB"/>
        </w:rPr>
        <w:t>we</w:t>
      </w:r>
      <w:r>
        <w:rPr>
          <w:lang w:val="en-GB"/>
        </w:rPr>
        <w:t xml:space="preserve"> </w:t>
      </w:r>
      <w:r w:rsidRPr="00A5135B">
        <w:rPr>
          <w:lang w:val="en-GB"/>
        </w:rPr>
        <w:t>describe</w:t>
      </w:r>
      <w:r>
        <w:rPr>
          <w:lang w:val="en-GB"/>
        </w:rPr>
        <w:t xml:space="preserve"> </w:t>
      </w:r>
      <w:r w:rsidRPr="00A5135B">
        <w:rPr>
          <w:rStyle w:val="Fett"/>
          <w:lang w:val="en-GB"/>
        </w:rPr>
        <w:t>FAIR</w:t>
      </w:r>
      <w:r>
        <w:rPr>
          <w:rStyle w:val="Fett"/>
          <w:lang w:val="en-GB"/>
        </w:rPr>
        <w:t xml:space="preserve"> </w:t>
      </w:r>
      <w:r w:rsidRPr="00A5135B">
        <w:rPr>
          <w:lang w:val="en-GB"/>
        </w:rPr>
        <w:t>-</w:t>
      </w:r>
      <w:r>
        <w:rPr>
          <w:lang w:val="en-GB"/>
        </w:rPr>
        <w:t xml:space="preserve"> </w:t>
      </w:r>
      <w:r w:rsidRPr="00A5135B">
        <w:rPr>
          <w:lang w:val="en-GB"/>
        </w:rPr>
        <w:t>a</w:t>
      </w:r>
      <w:r>
        <w:rPr>
          <w:lang w:val="en-GB"/>
        </w:rPr>
        <w:t xml:space="preserve"> </w:t>
      </w:r>
      <w:r w:rsidRPr="00A5135B">
        <w:rPr>
          <w:lang w:val="en-GB"/>
        </w:rPr>
        <w:t>set</w:t>
      </w:r>
      <w:r>
        <w:rPr>
          <w:lang w:val="en-GB"/>
        </w:rPr>
        <w:t xml:space="preserve"> </w:t>
      </w:r>
      <w:r w:rsidRPr="00A5135B">
        <w:rPr>
          <w:lang w:val="en-GB"/>
        </w:rPr>
        <w:t>of</w:t>
      </w:r>
      <w:r>
        <w:rPr>
          <w:lang w:val="en-GB"/>
        </w:rPr>
        <w:t xml:space="preserve"> guiding principles to make data </w:t>
      </w:r>
      <w:r w:rsidRPr="00A5135B">
        <w:rPr>
          <w:rStyle w:val="Fett"/>
          <w:lang w:val="en-GB"/>
        </w:rPr>
        <w:t>Findable,</w:t>
      </w:r>
      <w:r>
        <w:rPr>
          <w:rStyle w:val="Fett"/>
          <w:lang w:val="en-GB"/>
        </w:rPr>
        <w:t xml:space="preserve"> </w:t>
      </w:r>
      <w:r w:rsidRPr="00A5135B">
        <w:rPr>
          <w:rStyle w:val="Fett"/>
          <w:lang w:val="en-GB"/>
        </w:rPr>
        <w:t>Accessible,</w:t>
      </w:r>
      <w:r>
        <w:rPr>
          <w:rStyle w:val="Fett"/>
          <w:lang w:val="en-GB"/>
        </w:rPr>
        <w:t xml:space="preserve"> </w:t>
      </w:r>
      <w:r w:rsidRPr="00A5135B">
        <w:rPr>
          <w:rStyle w:val="Fett"/>
          <w:lang w:val="en-GB"/>
        </w:rPr>
        <w:t>Interoperable,</w:t>
      </w:r>
      <w:r>
        <w:rPr>
          <w:rStyle w:val="Fett"/>
          <w:lang w:val="en-GB"/>
        </w:rPr>
        <w:t xml:space="preserve"> </w:t>
      </w:r>
      <w:r w:rsidRPr="00A5135B">
        <w:rPr>
          <w:rStyle w:val="Fett"/>
          <w:lang w:val="en-GB"/>
        </w:rPr>
        <w:t>and</w:t>
      </w:r>
      <w:r>
        <w:rPr>
          <w:rStyle w:val="Fett"/>
          <w:lang w:val="en-GB"/>
        </w:rPr>
        <w:t xml:space="preserve"> </w:t>
      </w:r>
      <w:r w:rsidRPr="00A5135B">
        <w:rPr>
          <w:rStyle w:val="Fett"/>
          <w:lang w:val="en-GB"/>
        </w:rPr>
        <w:t>Re-usable</w:t>
      </w:r>
      <w:r w:rsidRPr="00A5135B">
        <w:rPr>
          <w:lang w:val="en-GB"/>
        </w:rPr>
        <w:t>.</w:t>
      </w:r>
    </w:p>
    <w:p w:rsidR="00A5135B" w:rsidRPr="00A5135B" w:rsidRDefault="00A5135B" w:rsidP="00A5135B">
      <w:pPr>
        <w:pStyle w:val="StandardWeb"/>
        <w:rPr>
          <w:lang w:val="en-GB"/>
        </w:rPr>
      </w:pPr>
      <w:r w:rsidRPr="00A5135B">
        <w:rPr>
          <w:rStyle w:val="Fett"/>
          <w:lang w:val="en-GB"/>
        </w:rPr>
        <w:t>To</w:t>
      </w:r>
      <w:r>
        <w:rPr>
          <w:rStyle w:val="Fett"/>
          <w:lang w:val="en-GB"/>
        </w:rPr>
        <w:t xml:space="preserve"> </w:t>
      </w:r>
      <w:r w:rsidRPr="00A5135B">
        <w:rPr>
          <w:rStyle w:val="Fett"/>
          <w:lang w:val="en-GB"/>
        </w:rPr>
        <w:t>be</w:t>
      </w:r>
      <w:r>
        <w:rPr>
          <w:rStyle w:val="Fett"/>
          <w:lang w:val="en-GB"/>
        </w:rPr>
        <w:t xml:space="preserve"> </w:t>
      </w:r>
      <w:r w:rsidRPr="00A5135B">
        <w:rPr>
          <w:rStyle w:val="Fett"/>
          <w:lang w:val="en-GB"/>
        </w:rPr>
        <w:t>Findable:</w:t>
      </w:r>
    </w:p>
    <w:p w:rsidR="00F95187" w:rsidRDefault="00A5135B" w:rsidP="00F95187">
      <w:pPr>
        <w:pStyle w:val="KeinLeerraum"/>
        <w:rPr>
          <w:lang w:val="en-GB"/>
        </w:rPr>
      </w:pPr>
      <w:proofErr w:type="spellStart"/>
      <w:r w:rsidRPr="00A5135B">
        <w:rPr>
          <w:lang w:val="en-GB"/>
        </w:rPr>
        <w:t>F1</w:t>
      </w:r>
      <w:proofErr w:type="spellEnd"/>
      <w:r w:rsidRPr="00A5135B">
        <w:rPr>
          <w:lang w:val="en-GB"/>
        </w:rPr>
        <w:t>.</w:t>
      </w:r>
      <w:r>
        <w:rPr>
          <w:lang w:val="en-GB"/>
        </w:rPr>
        <w:t xml:space="preserve"> </w:t>
      </w: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are</w:t>
      </w:r>
      <w:r>
        <w:rPr>
          <w:lang w:val="en-GB"/>
        </w:rPr>
        <w:t xml:space="preserve"> </w:t>
      </w:r>
      <w:r w:rsidRPr="00A5135B">
        <w:rPr>
          <w:lang w:val="en-GB"/>
        </w:rPr>
        <w:t>assigned</w:t>
      </w:r>
      <w:r>
        <w:rPr>
          <w:lang w:val="en-GB"/>
        </w:rPr>
        <w:t xml:space="preserve"> </w:t>
      </w:r>
      <w:r w:rsidRPr="00A5135B">
        <w:rPr>
          <w:lang w:val="en-GB"/>
        </w:rPr>
        <w:t>a</w:t>
      </w:r>
      <w:r>
        <w:rPr>
          <w:lang w:val="en-GB"/>
        </w:rPr>
        <w:t xml:space="preserve"> </w:t>
      </w:r>
      <w:r w:rsidRPr="00A5135B">
        <w:rPr>
          <w:lang w:val="en-GB"/>
        </w:rPr>
        <w:t>globally</w:t>
      </w:r>
      <w:r>
        <w:rPr>
          <w:lang w:val="en-GB"/>
        </w:rPr>
        <w:t xml:space="preserve"> </w:t>
      </w:r>
      <w:r w:rsidRPr="00A5135B">
        <w:rPr>
          <w:lang w:val="en-GB"/>
        </w:rPr>
        <w:t>unique</w:t>
      </w:r>
      <w:r>
        <w:rPr>
          <w:lang w:val="en-GB"/>
        </w:rPr>
        <w:t xml:space="preserve"> </w:t>
      </w:r>
      <w:r w:rsidRPr="00A5135B">
        <w:rPr>
          <w:lang w:val="en-GB"/>
        </w:rPr>
        <w:t>and</w:t>
      </w:r>
      <w:r>
        <w:rPr>
          <w:lang w:val="en-GB"/>
        </w:rPr>
        <w:t xml:space="preserve"> </w:t>
      </w:r>
      <w:r w:rsidRPr="00A5135B">
        <w:rPr>
          <w:lang w:val="en-GB"/>
        </w:rPr>
        <w:t>eternally</w:t>
      </w:r>
      <w:r>
        <w:rPr>
          <w:lang w:val="en-GB"/>
        </w:rPr>
        <w:t xml:space="preserve"> </w:t>
      </w:r>
      <w:r w:rsidRPr="00A5135B">
        <w:rPr>
          <w:lang w:val="en-GB"/>
        </w:rPr>
        <w:t>persistent</w:t>
      </w:r>
      <w:r>
        <w:rPr>
          <w:lang w:val="en-GB"/>
        </w:rPr>
        <w:t xml:space="preserve"> </w:t>
      </w:r>
      <w:r w:rsidRPr="00A5135B">
        <w:rPr>
          <w:lang w:val="en-GB"/>
        </w:rPr>
        <w:t>identifier.</w:t>
      </w:r>
    </w:p>
    <w:p w:rsidR="00F95187" w:rsidRDefault="00A5135B" w:rsidP="00F95187">
      <w:pPr>
        <w:pStyle w:val="KeinLeerraum"/>
        <w:rPr>
          <w:lang w:val="en-GB"/>
        </w:rPr>
      </w:pPr>
      <w:proofErr w:type="spellStart"/>
      <w:r w:rsidRPr="00A5135B">
        <w:rPr>
          <w:lang w:val="en-GB"/>
        </w:rPr>
        <w:t>F2</w:t>
      </w:r>
      <w:proofErr w:type="spellEnd"/>
      <w:r w:rsidRPr="00A5135B">
        <w:rPr>
          <w:lang w:val="en-GB"/>
        </w:rPr>
        <w:t>.</w:t>
      </w:r>
      <w:r>
        <w:rPr>
          <w:lang w:val="en-GB"/>
        </w:rPr>
        <w:t xml:space="preserve"> </w:t>
      </w:r>
      <w:proofErr w:type="gramStart"/>
      <w:r w:rsidRPr="00A5135B">
        <w:rPr>
          <w:lang w:val="en-GB"/>
        </w:rPr>
        <w:t>data</w:t>
      </w:r>
      <w:proofErr w:type="gramEnd"/>
      <w:r>
        <w:rPr>
          <w:lang w:val="en-GB"/>
        </w:rPr>
        <w:t xml:space="preserve"> </w:t>
      </w:r>
      <w:r w:rsidRPr="00A5135B">
        <w:rPr>
          <w:lang w:val="en-GB"/>
        </w:rPr>
        <w:t>are</w:t>
      </w:r>
      <w:r>
        <w:rPr>
          <w:lang w:val="en-GB"/>
        </w:rPr>
        <w:t xml:space="preserve"> </w:t>
      </w:r>
      <w:r w:rsidRPr="00A5135B">
        <w:rPr>
          <w:lang w:val="en-GB"/>
        </w:rPr>
        <w:t>described</w:t>
      </w:r>
      <w:r>
        <w:rPr>
          <w:lang w:val="en-GB"/>
        </w:rPr>
        <w:t xml:space="preserve"> </w:t>
      </w:r>
      <w:r w:rsidRPr="00A5135B">
        <w:rPr>
          <w:lang w:val="en-GB"/>
        </w:rPr>
        <w:t>with</w:t>
      </w:r>
      <w:r>
        <w:rPr>
          <w:lang w:val="en-GB"/>
        </w:rPr>
        <w:t xml:space="preserve"> </w:t>
      </w:r>
      <w:r w:rsidRPr="00A5135B">
        <w:rPr>
          <w:lang w:val="en-GB"/>
        </w:rPr>
        <w:t>rich</w:t>
      </w:r>
      <w:r>
        <w:rPr>
          <w:lang w:val="en-GB"/>
        </w:rPr>
        <w:t xml:space="preserve"> </w:t>
      </w:r>
      <w:r w:rsidRPr="00A5135B">
        <w:rPr>
          <w:lang w:val="en-GB"/>
        </w:rPr>
        <w:t>metadata.</w:t>
      </w:r>
    </w:p>
    <w:p w:rsidR="00F95187" w:rsidRDefault="00A5135B" w:rsidP="00F95187">
      <w:pPr>
        <w:pStyle w:val="KeinLeerraum"/>
        <w:rPr>
          <w:lang w:val="en-GB"/>
        </w:rPr>
      </w:pPr>
      <w:proofErr w:type="spellStart"/>
      <w:r w:rsidRPr="00A5135B">
        <w:rPr>
          <w:lang w:val="en-GB"/>
        </w:rPr>
        <w:t>F3</w:t>
      </w:r>
      <w:proofErr w:type="spellEnd"/>
      <w:r w:rsidRPr="00A5135B">
        <w:rPr>
          <w:lang w:val="en-GB"/>
        </w:rPr>
        <w:t>.</w:t>
      </w:r>
      <w:r>
        <w:rPr>
          <w:lang w:val="en-GB"/>
        </w:rPr>
        <w:t xml:space="preserve"> </w:t>
      </w: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are</w:t>
      </w:r>
      <w:r>
        <w:rPr>
          <w:lang w:val="en-GB"/>
        </w:rPr>
        <w:t xml:space="preserve"> </w:t>
      </w:r>
      <w:r w:rsidRPr="00A5135B">
        <w:rPr>
          <w:lang w:val="en-GB"/>
        </w:rPr>
        <w:t>registered</w:t>
      </w:r>
      <w:r>
        <w:rPr>
          <w:lang w:val="en-GB"/>
        </w:rPr>
        <w:t xml:space="preserve"> </w:t>
      </w:r>
      <w:r w:rsidRPr="00A5135B">
        <w:rPr>
          <w:lang w:val="en-GB"/>
        </w:rPr>
        <w:t>or</w:t>
      </w:r>
      <w:r>
        <w:rPr>
          <w:lang w:val="en-GB"/>
        </w:rPr>
        <w:t xml:space="preserve"> </w:t>
      </w:r>
      <w:r w:rsidRPr="00A5135B">
        <w:rPr>
          <w:lang w:val="en-GB"/>
        </w:rPr>
        <w:t>indexed</w:t>
      </w:r>
      <w:r>
        <w:rPr>
          <w:lang w:val="en-GB"/>
        </w:rPr>
        <w:t xml:space="preserve"> </w:t>
      </w:r>
      <w:r w:rsidRPr="00A5135B">
        <w:rPr>
          <w:lang w:val="en-GB"/>
        </w:rPr>
        <w:t>in</w:t>
      </w:r>
      <w:r>
        <w:rPr>
          <w:lang w:val="en-GB"/>
        </w:rPr>
        <w:t xml:space="preserve"> </w:t>
      </w:r>
      <w:r w:rsidRPr="00A5135B">
        <w:rPr>
          <w:lang w:val="en-GB"/>
        </w:rPr>
        <w:t>a</w:t>
      </w:r>
      <w:r>
        <w:rPr>
          <w:lang w:val="en-GB"/>
        </w:rPr>
        <w:t xml:space="preserve"> </w:t>
      </w:r>
      <w:r w:rsidRPr="00A5135B">
        <w:rPr>
          <w:lang w:val="en-GB"/>
        </w:rPr>
        <w:t>searchable</w:t>
      </w:r>
      <w:r>
        <w:rPr>
          <w:lang w:val="en-GB"/>
        </w:rPr>
        <w:t xml:space="preserve"> </w:t>
      </w:r>
      <w:r w:rsidRPr="00A5135B">
        <w:rPr>
          <w:lang w:val="en-GB"/>
        </w:rPr>
        <w:t>resource.</w:t>
      </w:r>
    </w:p>
    <w:p w:rsidR="00A5135B" w:rsidRPr="00A5135B" w:rsidRDefault="00A5135B" w:rsidP="00F95187">
      <w:pPr>
        <w:pStyle w:val="KeinLeerraum"/>
        <w:rPr>
          <w:lang w:val="en-GB"/>
        </w:rPr>
      </w:pPr>
      <w:proofErr w:type="spellStart"/>
      <w:r w:rsidRPr="00A5135B">
        <w:rPr>
          <w:lang w:val="en-GB"/>
        </w:rPr>
        <w:t>F4</w:t>
      </w:r>
      <w:proofErr w:type="spellEnd"/>
      <w:r w:rsidRPr="00A5135B">
        <w:rPr>
          <w:lang w:val="en-GB"/>
        </w:rPr>
        <w:t>.</w:t>
      </w:r>
      <w:r>
        <w:rPr>
          <w:lang w:val="en-GB"/>
        </w:rPr>
        <w:t xml:space="preserve"> </w:t>
      </w:r>
      <w:proofErr w:type="gramStart"/>
      <w:r w:rsidRPr="00A5135B">
        <w:rPr>
          <w:lang w:val="en-GB"/>
        </w:rPr>
        <w:t>metadata</w:t>
      </w:r>
      <w:proofErr w:type="gramEnd"/>
      <w:r>
        <w:rPr>
          <w:lang w:val="en-GB"/>
        </w:rPr>
        <w:t xml:space="preserve"> </w:t>
      </w:r>
      <w:r w:rsidRPr="00A5135B">
        <w:rPr>
          <w:lang w:val="en-GB"/>
        </w:rPr>
        <w:t>specify</w:t>
      </w:r>
      <w:r>
        <w:rPr>
          <w:lang w:val="en-GB"/>
        </w:rPr>
        <w:t xml:space="preserve"> </w:t>
      </w:r>
      <w:r w:rsidRPr="00A5135B">
        <w:rPr>
          <w:lang w:val="en-GB"/>
        </w:rPr>
        <w:t>the</w:t>
      </w:r>
      <w:r>
        <w:rPr>
          <w:lang w:val="en-GB"/>
        </w:rPr>
        <w:t xml:space="preserve"> </w:t>
      </w:r>
      <w:r w:rsidRPr="00A5135B">
        <w:rPr>
          <w:lang w:val="en-GB"/>
        </w:rPr>
        <w:t>data</w:t>
      </w:r>
      <w:r>
        <w:rPr>
          <w:lang w:val="en-GB"/>
        </w:rPr>
        <w:t xml:space="preserve"> </w:t>
      </w:r>
      <w:r w:rsidRPr="00A5135B">
        <w:rPr>
          <w:lang w:val="en-GB"/>
        </w:rPr>
        <w:t>identifier.</w:t>
      </w:r>
    </w:p>
    <w:p w:rsidR="00A5135B" w:rsidRPr="00A5135B" w:rsidRDefault="00A5135B" w:rsidP="00A5135B">
      <w:pPr>
        <w:pStyle w:val="StandardWeb"/>
        <w:rPr>
          <w:lang w:val="en-GB"/>
        </w:rPr>
      </w:pPr>
      <w:r w:rsidRPr="00A5135B">
        <w:rPr>
          <w:rStyle w:val="Fett"/>
          <w:lang w:val="en-GB"/>
        </w:rPr>
        <w:t>To</w:t>
      </w:r>
      <w:r>
        <w:rPr>
          <w:rStyle w:val="Fett"/>
          <w:lang w:val="en-GB"/>
        </w:rPr>
        <w:t xml:space="preserve"> </w:t>
      </w:r>
      <w:r w:rsidRPr="00A5135B">
        <w:rPr>
          <w:rStyle w:val="Fett"/>
          <w:lang w:val="en-GB"/>
        </w:rPr>
        <w:t>be</w:t>
      </w:r>
      <w:r>
        <w:rPr>
          <w:rStyle w:val="Fett"/>
          <w:lang w:val="en-GB"/>
        </w:rPr>
        <w:t xml:space="preserve"> </w:t>
      </w:r>
      <w:r w:rsidRPr="00A5135B">
        <w:rPr>
          <w:rStyle w:val="Fett"/>
          <w:lang w:val="en-GB"/>
        </w:rPr>
        <w:t>Accessible:</w:t>
      </w:r>
    </w:p>
    <w:p w:rsidR="00F95187" w:rsidRDefault="00A5135B" w:rsidP="00F95187">
      <w:pPr>
        <w:pStyle w:val="KeinLeerraum"/>
        <w:rPr>
          <w:u w:val="single"/>
          <w:lang w:val="en-GB"/>
        </w:rPr>
      </w:pPr>
      <w:proofErr w:type="gramStart"/>
      <w:r w:rsidRPr="00A5135B">
        <w:rPr>
          <w:lang w:val="en-GB"/>
        </w:rPr>
        <w:t>A1</w:t>
      </w:r>
      <w:r>
        <w:rPr>
          <w:lang w:val="en-GB"/>
        </w:rPr>
        <w:t xml:space="preserve">  </w:t>
      </w:r>
      <w:r w:rsidRPr="00A5135B">
        <w:rPr>
          <w:lang w:val="en-GB"/>
        </w:rPr>
        <w:t>(</w:t>
      </w:r>
      <w:proofErr w:type="gramEnd"/>
      <w:r w:rsidRPr="00A5135B">
        <w:rPr>
          <w:lang w:val="en-GB"/>
        </w:rPr>
        <w:t>meta)data</w:t>
      </w:r>
      <w:r>
        <w:rPr>
          <w:lang w:val="en-GB"/>
        </w:rPr>
        <w:t xml:space="preserve"> </w:t>
      </w:r>
      <w:r w:rsidRPr="00A5135B">
        <w:rPr>
          <w:lang w:val="en-GB"/>
        </w:rPr>
        <w:t>are</w:t>
      </w:r>
      <w:r>
        <w:rPr>
          <w:lang w:val="en-GB"/>
        </w:rPr>
        <w:t xml:space="preserve"> </w:t>
      </w:r>
      <w:r w:rsidRPr="00A5135B">
        <w:rPr>
          <w:u w:val="single"/>
          <w:lang w:val="en-GB"/>
        </w:rPr>
        <w:t>retrievable</w:t>
      </w:r>
      <w:r>
        <w:rPr>
          <w:u w:val="single"/>
          <w:lang w:val="en-GB"/>
        </w:rPr>
        <w:t xml:space="preserve"> </w:t>
      </w:r>
      <w:r w:rsidRPr="00A5135B">
        <w:rPr>
          <w:u w:val="single"/>
          <w:lang w:val="en-GB"/>
        </w:rPr>
        <w:t>by</w:t>
      </w:r>
      <w:r>
        <w:rPr>
          <w:u w:val="single"/>
          <w:lang w:val="en-GB"/>
        </w:rPr>
        <w:t xml:space="preserve"> </w:t>
      </w:r>
      <w:r w:rsidRPr="00A5135B">
        <w:rPr>
          <w:u w:val="single"/>
          <w:lang w:val="en-GB"/>
        </w:rPr>
        <w:t>their</w:t>
      </w:r>
      <w:r>
        <w:rPr>
          <w:u w:val="single"/>
          <w:lang w:val="en-GB"/>
        </w:rPr>
        <w:t xml:space="preserve"> </w:t>
      </w:r>
      <w:r w:rsidRPr="00A5135B">
        <w:rPr>
          <w:u w:val="single"/>
          <w:lang w:val="en-GB"/>
        </w:rPr>
        <w:t>identifier</w:t>
      </w:r>
      <w:r>
        <w:rPr>
          <w:lang w:val="en-GB"/>
        </w:rPr>
        <w:t xml:space="preserve"> </w:t>
      </w:r>
      <w:r w:rsidRPr="00A5135B">
        <w:rPr>
          <w:lang w:val="en-GB"/>
        </w:rPr>
        <w:t>using</w:t>
      </w:r>
      <w:r>
        <w:rPr>
          <w:lang w:val="en-GB"/>
        </w:rPr>
        <w:t xml:space="preserve"> </w:t>
      </w:r>
      <w:r w:rsidRPr="00A5135B">
        <w:rPr>
          <w:u w:val="single"/>
          <w:lang w:val="en-GB"/>
        </w:rPr>
        <w:t>a</w:t>
      </w:r>
      <w:r>
        <w:rPr>
          <w:u w:val="single"/>
          <w:lang w:val="en-GB"/>
        </w:rPr>
        <w:t xml:space="preserve"> </w:t>
      </w:r>
      <w:r w:rsidRPr="00A5135B">
        <w:rPr>
          <w:u w:val="single"/>
          <w:lang w:val="en-GB"/>
        </w:rPr>
        <w:t>standardized</w:t>
      </w:r>
      <w:r>
        <w:rPr>
          <w:u w:val="single"/>
          <w:lang w:val="en-GB"/>
        </w:rPr>
        <w:t xml:space="preserve"> </w:t>
      </w:r>
      <w:r w:rsidRPr="00A5135B">
        <w:rPr>
          <w:u w:val="single"/>
          <w:lang w:val="en-GB"/>
        </w:rPr>
        <w:t>communications</w:t>
      </w:r>
      <w:r>
        <w:rPr>
          <w:u w:val="single"/>
          <w:lang w:val="en-GB"/>
        </w:rPr>
        <w:t xml:space="preserve"> </w:t>
      </w:r>
      <w:r w:rsidRPr="00A5135B">
        <w:rPr>
          <w:u w:val="single"/>
          <w:lang w:val="en-GB"/>
        </w:rPr>
        <w:t>protocol.</w:t>
      </w:r>
    </w:p>
    <w:p w:rsidR="00F95187" w:rsidRDefault="00A5135B" w:rsidP="00F95187">
      <w:pPr>
        <w:pStyle w:val="KeinLeerraum"/>
        <w:rPr>
          <w:lang w:val="en-GB"/>
        </w:rPr>
      </w:pPr>
      <w:proofErr w:type="spellStart"/>
      <w:r w:rsidRPr="00A5135B">
        <w:rPr>
          <w:lang w:val="en-GB"/>
        </w:rPr>
        <w:t>A1.1</w:t>
      </w:r>
      <w:proofErr w:type="spellEnd"/>
      <w:r>
        <w:rPr>
          <w:lang w:val="en-GB"/>
        </w:rPr>
        <w:t xml:space="preserve"> </w:t>
      </w:r>
      <w:r w:rsidRPr="00A5135B">
        <w:rPr>
          <w:lang w:val="en-GB"/>
        </w:rPr>
        <w:t>the</w:t>
      </w:r>
      <w:r>
        <w:rPr>
          <w:lang w:val="en-GB"/>
        </w:rPr>
        <w:t xml:space="preserve"> </w:t>
      </w:r>
      <w:r w:rsidRPr="00A5135B">
        <w:rPr>
          <w:u w:val="single"/>
          <w:lang w:val="en-GB"/>
        </w:rPr>
        <w:t>protocol</w:t>
      </w:r>
      <w:r>
        <w:rPr>
          <w:lang w:val="en-GB"/>
        </w:rPr>
        <w:t xml:space="preserve"> </w:t>
      </w:r>
      <w:r w:rsidRPr="00A5135B">
        <w:rPr>
          <w:lang w:val="en-GB"/>
        </w:rPr>
        <w:t>is</w:t>
      </w:r>
      <w:r>
        <w:rPr>
          <w:lang w:val="en-GB"/>
        </w:rPr>
        <w:t xml:space="preserve"> </w:t>
      </w:r>
      <w:r w:rsidRPr="00A5135B">
        <w:rPr>
          <w:lang w:val="en-GB"/>
        </w:rPr>
        <w:t>open,</w:t>
      </w:r>
      <w:r>
        <w:rPr>
          <w:lang w:val="en-GB"/>
        </w:rPr>
        <w:t xml:space="preserve"> </w:t>
      </w:r>
      <w:r w:rsidRPr="00A5135B">
        <w:rPr>
          <w:lang w:val="en-GB"/>
        </w:rPr>
        <w:t>free,</w:t>
      </w:r>
      <w:r>
        <w:rPr>
          <w:lang w:val="en-GB"/>
        </w:rPr>
        <w:t xml:space="preserve"> </w:t>
      </w:r>
      <w:r w:rsidRPr="00A5135B">
        <w:rPr>
          <w:lang w:val="en-GB"/>
        </w:rPr>
        <w:t>and</w:t>
      </w:r>
      <w:r>
        <w:rPr>
          <w:lang w:val="en-GB"/>
        </w:rPr>
        <w:t xml:space="preserve"> </w:t>
      </w:r>
      <w:r w:rsidRPr="00A5135B">
        <w:rPr>
          <w:lang w:val="en-GB"/>
        </w:rPr>
        <w:t>universally</w:t>
      </w:r>
      <w:r>
        <w:rPr>
          <w:lang w:val="en-GB"/>
        </w:rPr>
        <w:t xml:space="preserve"> </w:t>
      </w:r>
      <w:r w:rsidRPr="00A5135B">
        <w:rPr>
          <w:lang w:val="en-GB"/>
        </w:rPr>
        <w:t>implementable.</w:t>
      </w:r>
    </w:p>
    <w:p w:rsidR="00F95187" w:rsidRDefault="00A5135B" w:rsidP="00F95187">
      <w:pPr>
        <w:pStyle w:val="KeinLeerraum"/>
        <w:rPr>
          <w:lang w:val="en-GB"/>
        </w:rPr>
      </w:pPr>
      <w:proofErr w:type="spellStart"/>
      <w:r w:rsidRPr="00A5135B">
        <w:rPr>
          <w:lang w:val="en-GB"/>
        </w:rPr>
        <w:t>A1.2</w:t>
      </w:r>
      <w:proofErr w:type="spellEnd"/>
      <w:r>
        <w:rPr>
          <w:lang w:val="en-GB"/>
        </w:rPr>
        <w:t xml:space="preserve"> </w:t>
      </w:r>
      <w:r w:rsidRPr="00A5135B">
        <w:rPr>
          <w:lang w:val="en-GB"/>
        </w:rPr>
        <w:t>the</w:t>
      </w:r>
      <w:r>
        <w:rPr>
          <w:lang w:val="en-GB"/>
        </w:rPr>
        <w:t xml:space="preserve"> </w:t>
      </w:r>
      <w:r w:rsidRPr="00A5135B">
        <w:rPr>
          <w:u w:val="single"/>
          <w:lang w:val="en-GB"/>
        </w:rPr>
        <w:t>protocol</w:t>
      </w:r>
      <w:r>
        <w:rPr>
          <w:u w:val="single"/>
          <w:lang w:val="en-GB"/>
        </w:rPr>
        <w:t xml:space="preserve"> </w:t>
      </w:r>
      <w:r w:rsidRPr="00A5135B">
        <w:rPr>
          <w:lang w:val="en-GB"/>
        </w:rPr>
        <w:t>allows</w:t>
      </w:r>
      <w:r>
        <w:rPr>
          <w:lang w:val="en-GB"/>
        </w:rPr>
        <w:t xml:space="preserve"> </w:t>
      </w:r>
      <w:r w:rsidRPr="00A5135B">
        <w:rPr>
          <w:lang w:val="en-GB"/>
        </w:rPr>
        <w:t>for</w:t>
      </w:r>
      <w:r>
        <w:rPr>
          <w:lang w:val="en-GB"/>
        </w:rPr>
        <w:t xml:space="preserve"> </w:t>
      </w:r>
      <w:r w:rsidRPr="00A5135B">
        <w:rPr>
          <w:lang w:val="en-GB"/>
        </w:rPr>
        <w:t>an</w:t>
      </w:r>
      <w:r>
        <w:rPr>
          <w:lang w:val="en-GB"/>
        </w:rPr>
        <w:t xml:space="preserve"> </w:t>
      </w:r>
      <w:r w:rsidRPr="00A5135B">
        <w:rPr>
          <w:lang w:val="en-GB"/>
        </w:rPr>
        <w:t>authentication</w:t>
      </w:r>
      <w:r>
        <w:rPr>
          <w:lang w:val="en-GB"/>
        </w:rPr>
        <w:t xml:space="preserve"> </w:t>
      </w:r>
      <w:r w:rsidRPr="00A5135B">
        <w:rPr>
          <w:lang w:val="en-GB"/>
        </w:rPr>
        <w:t>and</w:t>
      </w:r>
      <w:r>
        <w:rPr>
          <w:lang w:val="en-GB"/>
        </w:rPr>
        <w:t xml:space="preserve"> </w:t>
      </w:r>
      <w:r w:rsidRPr="00A5135B">
        <w:rPr>
          <w:lang w:val="en-GB"/>
        </w:rPr>
        <w:t>authorization</w:t>
      </w:r>
      <w:r>
        <w:rPr>
          <w:lang w:val="en-GB"/>
        </w:rPr>
        <w:t xml:space="preserve"> </w:t>
      </w:r>
      <w:r w:rsidRPr="00A5135B">
        <w:rPr>
          <w:lang w:val="en-GB"/>
        </w:rPr>
        <w:t>procedure,</w:t>
      </w:r>
      <w:r>
        <w:rPr>
          <w:lang w:val="en-GB"/>
        </w:rPr>
        <w:t xml:space="preserve"> </w:t>
      </w:r>
      <w:r w:rsidRPr="00A5135B">
        <w:rPr>
          <w:lang w:val="en-GB"/>
        </w:rPr>
        <w:t>where</w:t>
      </w:r>
      <w:r>
        <w:rPr>
          <w:lang w:val="en-GB"/>
        </w:rPr>
        <w:t xml:space="preserve"> </w:t>
      </w:r>
      <w:r w:rsidRPr="00A5135B">
        <w:rPr>
          <w:lang w:val="en-GB"/>
        </w:rPr>
        <w:t>necessary.</w:t>
      </w:r>
    </w:p>
    <w:p w:rsidR="00A5135B" w:rsidRPr="00A5135B" w:rsidRDefault="00A5135B" w:rsidP="00F95187">
      <w:pPr>
        <w:pStyle w:val="KeinLeerraum"/>
        <w:rPr>
          <w:lang w:val="en-GB"/>
        </w:rPr>
      </w:pPr>
      <w:proofErr w:type="spellStart"/>
      <w:r w:rsidRPr="00A5135B">
        <w:rPr>
          <w:lang w:val="en-GB"/>
        </w:rPr>
        <w:t>A2</w:t>
      </w:r>
      <w:proofErr w:type="spellEnd"/>
      <w:r>
        <w:rPr>
          <w:lang w:val="en-GB"/>
        </w:rPr>
        <w:t xml:space="preserve"> </w:t>
      </w:r>
      <w:r w:rsidRPr="00A5135B">
        <w:rPr>
          <w:u w:val="single"/>
          <w:lang w:val="en-GB"/>
        </w:rPr>
        <w:t>metadata</w:t>
      </w:r>
      <w:r>
        <w:rPr>
          <w:u w:val="single"/>
          <w:lang w:val="en-GB"/>
        </w:rPr>
        <w:t xml:space="preserve"> </w:t>
      </w:r>
      <w:r w:rsidRPr="00A5135B">
        <w:rPr>
          <w:u w:val="single"/>
          <w:lang w:val="en-GB"/>
        </w:rPr>
        <w:t>are</w:t>
      </w:r>
      <w:r>
        <w:rPr>
          <w:u w:val="single"/>
          <w:lang w:val="en-GB"/>
        </w:rPr>
        <w:t xml:space="preserve"> </w:t>
      </w:r>
      <w:r w:rsidRPr="00A5135B">
        <w:rPr>
          <w:u w:val="single"/>
          <w:lang w:val="en-GB"/>
        </w:rPr>
        <w:t>accessible</w:t>
      </w:r>
      <w:r w:rsidRPr="00A5135B">
        <w:rPr>
          <w:lang w:val="en-GB"/>
        </w:rPr>
        <w:t>,</w:t>
      </w:r>
      <w:r>
        <w:rPr>
          <w:lang w:val="en-GB"/>
        </w:rPr>
        <w:t xml:space="preserve"> </w:t>
      </w:r>
      <w:r w:rsidRPr="00A5135B">
        <w:rPr>
          <w:lang w:val="en-GB"/>
        </w:rPr>
        <w:t>even</w:t>
      </w:r>
      <w:r>
        <w:rPr>
          <w:lang w:val="en-GB"/>
        </w:rPr>
        <w:t xml:space="preserve"> </w:t>
      </w:r>
      <w:r w:rsidRPr="00A5135B">
        <w:rPr>
          <w:lang w:val="en-GB"/>
        </w:rPr>
        <w:t>when</w:t>
      </w:r>
      <w:r>
        <w:rPr>
          <w:lang w:val="en-GB"/>
        </w:rPr>
        <w:t xml:space="preserve"> </w:t>
      </w:r>
      <w:r w:rsidRPr="00A5135B">
        <w:rPr>
          <w:lang w:val="en-GB"/>
        </w:rPr>
        <w:t>the</w:t>
      </w:r>
      <w:r>
        <w:rPr>
          <w:lang w:val="en-GB"/>
        </w:rPr>
        <w:t xml:space="preserve"> </w:t>
      </w:r>
      <w:r w:rsidRPr="00A5135B">
        <w:rPr>
          <w:lang w:val="en-GB"/>
        </w:rPr>
        <w:t>data</w:t>
      </w:r>
      <w:r>
        <w:rPr>
          <w:lang w:val="en-GB"/>
        </w:rPr>
        <w:t xml:space="preserve"> </w:t>
      </w:r>
      <w:r w:rsidRPr="00A5135B">
        <w:rPr>
          <w:lang w:val="en-GB"/>
        </w:rPr>
        <w:t>are</w:t>
      </w:r>
      <w:r>
        <w:rPr>
          <w:lang w:val="en-GB"/>
        </w:rPr>
        <w:t xml:space="preserve"> </w:t>
      </w:r>
      <w:r w:rsidRPr="00A5135B">
        <w:rPr>
          <w:lang w:val="en-GB"/>
        </w:rPr>
        <w:t>no</w:t>
      </w:r>
      <w:r>
        <w:rPr>
          <w:lang w:val="en-GB"/>
        </w:rPr>
        <w:t xml:space="preserve"> </w:t>
      </w:r>
      <w:r w:rsidRPr="00A5135B">
        <w:rPr>
          <w:lang w:val="en-GB"/>
        </w:rPr>
        <w:t>longer</w:t>
      </w:r>
      <w:r>
        <w:rPr>
          <w:lang w:val="en-GB"/>
        </w:rPr>
        <w:t xml:space="preserve"> </w:t>
      </w:r>
      <w:r w:rsidRPr="00A5135B">
        <w:rPr>
          <w:lang w:val="en-GB"/>
        </w:rPr>
        <w:t>available.</w:t>
      </w:r>
    </w:p>
    <w:p w:rsidR="00A5135B" w:rsidRPr="00A5135B" w:rsidRDefault="00A5135B" w:rsidP="00A5135B">
      <w:pPr>
        <w:pStyle w:val="StandardWeb"/>
        <w:rPr>
          <w:lang w:val="en-GB"/>
        </w:rPr>
      </w:pPr>
      <w:r w:rsidRPr="00A5135B">
        <w:rPr>
          <w:rStyle w:val="Fett"/>
          <w:lang w:val="en-GB"/>
        </w:rPr>
        <w:t>To</w:t>
      </w:r>
      <w:r>
        <w:rPr>
          <w:rStyle w:val="Fett"/>
          <w:lang w:val="en-GB"/>
        </w:rPr>
        <w:t xml:space="preserve"> </w:t>
      </w:r>
      <w:r w:rsidRPr="00A5135B">
        <w:rPr>
          <w:rStyle w:val="Fett"/>
          <w:lang w:val="en-GB"/>
        </w:rPr>
        <w:t>be</w:t>
      </w:r>
      <w:r>
        <w:rPr>
          <w:rStyle w:val="Fett"/>
          <w:lang w:val="en-GB"/>
        </w:rPr>
        <w:t xml:space="preserve"> </w:t>
      </w:r>
      <w:r w:rsidRPr="00A5135B">
        <w:rPr>
          <w:rStyle w:val="Fett"/>
          <w:lang w:val="en-GB"/>
        </w:rPr>
        <w:t>Interoperable:</w:t>
      </w:r>
    </w:p>
    <w:p w:rsidR="00F95187" w:rsidRDefault="00A5135B" w:rsidP="00F95187">
      <w:pPr>
        <w:pStyle w:val="KeinLeerraum"/>
        <w:rPr>
          <w:lang w:val="en-GB"/>
        </w:rPr>
      </w:pPr>
      <w:proofErr w:type="spellStart"/>
      <w:r w:rsidRPr="00A5135B">
        <w:rPr>
          <w:lang w:val="en-GB"/>
        </w:rPr>
        <w:t>I1</w:t>
      </w:r>
      <w:proofErr w:type="spellEnd"/>
      <w:r w:rsidRPr="00A5135B">
        <w:rPr>
          <w:lang w:val="en-GB"/>
        </w:rPr>
        <w:t>.</w:t>
      </w:r>
      <w:r>
        <w:rPr>
          <w:lang w:val="en-GB"/>
        </w:rPr>
        <w:t xml:space="preserve"> </w:t>
      </w: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use</w:t>
      </w:r>
      <w:r>
        <w:rPr>
          <w:lang w:val="en-GB"/>
        </w:rPr>
        <w:t xml:space="preserve"> </w:t>
      </w:r>
      <w:r w:rsidRPr="00A5135B">
        <w:rPr>
          <w:lang w:val="en-GB"/>
        </w:rPr>
        <w:t>a</w:t>
      </w:r>
      <w:r>
        <w:rPr>
          <w:lang w:val="en-GB"/>
        </w:rPr>
        <w:t xml:space="preserve"> </w:t>
      </w:r>
      <w:r w:rsidRPr="00A5135B">
        <w:rPr>
          <w:lang w:val="en-GB"/>
        </w:rPr>
        <w:t>formal,</w:t>
      </w:r>
      <w:r>
        <w:rPr>
          <w:lang w:val="en-GB"/>
        </w:rPr>
        <w:t xml:space="preserve"> </w:t>
      </w:r>
      <w:r w:rsidRPr="00A5135B">
        <w:rPr>
          <w:lang w:val="en-GB"/>
        </w:rPr>
        <w:t>accessible,</w:t>
      </w:r>
      <w:r>
        <w:rPr>
          <w:lang w:val="en-GB"/>
        </w:rPr>
        <w:t xml:space="preserve"> </w:t>
      </w:r>
      <w:r w:rsidRPr="00A5135B">
        <w:rPr>
          <w:lang w:val="en-GB"/>
        </w:rPr>
        <w:t>shared,</w:t>
      </w:r>
      <w:r>
        <w:rPr>
          <w:lang w:val="en-GB"/>
        </w:rPr>
        <w:t xml:space="preserve"> </w:t>
      </w:r>
      <w:r w:rsidRPr="00A5135B">
        <w:rPr>
          <w:lang w:val="en-GB"/>
        </w:rPr>
        <w:t>and</w:t>
      </w:r>
      <w:r>
        <w:rPr>
          <w:lang w:val="en-GB"/>
        </w:rPr>
        <w:t xml:space="preserve"> </w:t>
      </w:r>
      <w:r w:rsidRPr="00A5135B">
        <w:rPr>
          <w:lang w:val="en-GB"/>
        </w:rPr>
        <w:t>broadly</w:t>
      </w:r>
      <w:r>
        <w:rPr>
          <w:lang w:val="en-GB"/>
        </w:rPr>
        <w:t xml:space="preserve"> </w:t>
      </w:r>
      <w:r w:rsidRPr="00A5135B">
        <w:rPr>
          <w:lang w:val="en-GB"/>
        </w:rPr>
        <w:t>applicable</w:t>
      </w:r>
      <w:r>
        <w:rPr>
          <w:lang w:val="en-GB"/>
        </w:rPr>
        <w:t xml:space="preserve"> </w:t>
      </w:r>
      <w:r w:rsidRPr="00A5135B">
        <w:rPr>
          <w:lang w:val="en-GB"/>
        </w:rPr>
        <w:t>language</w:t>
      </w:r>
      <w:r>
        <w:rPr>
          <w:lang w:val="en-GB"/>
        </w:rPr>
        <w:t xml:space="preserve"> </w:t>
      </w:r>
      <w:r w:rsidRPr="00A5135B">
        <w:rPr>
          <w:lang w:val="en-GB"/>
        </w:rPr>
        <w:t>for</w:t>
      </w:r>
      <w:r>
        <w:rPr>
          <w:lang w:val="en-GB"/>
        </w:rPr>
        <w:t xml:space="preserve"> </w:t>
      </w:r>
      <w:r w:rsidRPr="00A5135B">
        <w:rPr>
          <w:lang w:val="en-GB"/>
        </w:rPr>
        <w:t>knowledge</w:t>
      </w:r>
      <w:r>
        <w:rPr>
          <w:lang w:val="en-GB"/>
        </w:rPr>
        <w:t xml:space="preserve"> </w:t>
      </w:r>
      <w:r w:rsidRPr="00A5135B">
        <w:rPr>
          <w:lang w:val="en-GB"/>
        </w:rPr>
        <w:t>representation.</w:t>
      </w:r>
    </w:p>
    <w:p w:rsidR="00F95187" w:rsidRDefault="00A5135B" w:rsidP="00F95187">
      <w:pPr>
        <w:pStyle w:val="KeinLeerraum"/>
        <w:rPr>
          <w:lang w:val="en-GB"/>
        </w:rPr>
      </w:pPr>
      <w:proofErr w:type="spellStart"/>
      <w:r w:rsidRPr="00A5135B">
        <w:rPr>
          <w:lang w:val="en-GB"/>
        </w:rPr>
        <w:t>I2</w:t>
      </w:r>
      <w:proofErr w:type="spellEnd"/>
      <w:r w:rsidRPr="00A5135B">
        <w:rPr>
          <w:lang w:val="en-GB"/>
        </w:rPr>
        <w:t>.</w:t>
      </w:r>
      <w:r>
        <w:rPr>
          <w:lang w:val="en-GB"/>
        </w:rPr>
        <w:t xml:space="preserve"> </w:t>
      </w: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use</w:t>
      </w:r>
      <w:r>
        <w:rPr>
          <w:lang w:val="en-GB"/>
        </w:rPr>
        <w:t xml:space="preserve"> </w:t>
      </w:r>
      <w:r w:rsidRPr="00A5135B">
        <w:rPr>
          <w:lang w:val="en-GB"/>
        </w:rPr>
        <w:t>vocabularies</w:t>
      </w:r>
      <w:r>
        <w:rPr>
          <w:lang w:val="en-GB"/>
        </w:rPr>
        <w:t xml:space="preserve"> </w:t>
      </w:r>
      <w:r w:rsidRPr="00A5135B">
        <w:rPr>
          <w:lang w:val="en-GB"/>
        </w:rPr>
        <w:t>that</w:t>
      </w:r>
      <w:r>
        <w:rPr>
          <w:lang w:val="en-GB"/>
        </w:rPr>
        <w:t xml:space="preserve"> </w:t>
      </w:r>
      <w:r w:rsidRPr="00A5135B">
        <w:rPr>
          <w:lang w:val="en-GB"/>
        </w:rPr>
        <w:t>follow</w:t>
      </w:r>
      <w:r>
        <w:rPr>
          <w:lang w:val="en-GB"/>
        </w:rPr>
        <w:t xml:space="preserve"> </w:t>
      </w:r>
      <w:r w:rsidRPr="00A5135B">
        <w:rPr>
          <w:lang w:val="en-GB"/>
        </w:rPr>
        <w:t>FAIR</w:t>
      </w:r>
      <w:r>
        <w:rPr>
          <w:lang w:val="en-GB"/>
        </w:rPr>
        <w:t xml:space="preserve"> </w:t>
      </w:r>
      <w:r w:rsidRPr="00A5135B">
        <w:rPr>
          <w:lang w:val="en-GB"/>
        </w:rPr>
        <w:t>principles.</w:t>
      </w:r>
    </w:p>
    <w:p w:rsidR="00A5135B" w:rsidRPr="00A5135B" w:rsidRDefault="00A5135B" w:rsidP="00F95187">
      <w:pPr>
        <w:pStyle w:val="KeinLeerraum"/>
        <w:rPr>
          <w:lang w:val="en-GB"/>
        </w:rPr>
      </w:pPr>
      <w:proofErr w:type="spellStart"/>
      <w:r w:rsidRPr="00A5135B">
        <w:rPr>
          <w:lang w:val="en-GB"/>
        </w:rPr>
        <w:t>I3</w:t>
      </w:r>
      <w:proofErr w:type="spellEnd"/>
      <w:r w:rsidRPr="00A5135B">
        <w:rPr>
          <w:lang w:val="en-GB"/>
        </w:rPr>
        <w:t>.</w:t>
      </w:r>
      <w:r>
        <w:rPr>
          <w:lang w:val="en-GB"/>
        </w:rPr>
        <w:t xml:space="preserve"> </w:t>
      </w:r>
      <w:r w:rsidRPr="00A5135B">
        <w:rPr>
          <w:lang w:val="en-GB"/>
        </w:rPr>
        <w:t>(</w:t>
      </w:r>
      <w:proofErr w:type="gramStart"/>
      <w:r w:rsidRPr="00A5135B">
        <w:rPr>
          <w:lang w:val="en-GB"/>
        </w:rPr>
        <w:t>meta)</w:t>
      </w:r>
      <w:proofErr w:type="gramEnd"/>
      <w:r w:rsidRPr="00A5135B">
        <w:rPr>
          <w:lang w:val="en-GB"/>
        </w:rPr>
        <w:t>data</w:t>
      </w:r>
      <w:r>
        <w:rPr>
          <w:lang w:val="en-GB"/>
        </w:rPr>
        <w:t xml:space="preserve"> </w:t>
      </w:r>
      <w:r w:rsidRPr="00A5135B">
        <w:rPr>
          <w:lang w:val="en-GB"/>
        </w:rPr>
        <w:t>include</w:t>
      </w:r>
      <w:r>
        <w:rPr>
          <w:lang w:val="en-GB"/>
        </w:rPr>
        <w:t xml:space="preserve"> </w:t>
      </w:r>
      <w:r w:rsidRPr="00A5135B">
        <w:rPr>
          <w:lang w:val="en-GB"/>
        </w:rPr>
        <w:t>qualified</w:t>
      </w:r>
      <w:r>
        <w:rPr>
          <w:lang w:val="en-GB"/>
        </w:rPr>
        <w:t xml:space="preserve"> </w:t>
      </w:r>
      <w:r w:rsidRPr="00A5135B">
        <w:rPr>
          <w:lang w:val="en-GB"/>
        </w:rPr>
        <w:t>references</w:t>
      </w:r>
      <w:r>
        <w:rPr>
          <w:lang w:val="en-GB"/>
        </w:rPr>
        <w:t xml:space="preserve"> </w:t>
      </w:r>
      <w:r w:rsidRPr="00A5135B">
        <w:rPr>
          <w:lang w:val="en-GB"/>
        </w:rPr>
        <w:t>to</w:t>
      </w:r>
      <w:r>
        <w:rPr>
          <w:lang w:val="en-GB"/>
        </w:rPr>
        <w:t xml:space="preserve"> </w:t>
      </w:r>
      <w:r w:rsidRPr="00A5135B">
        <w:rPr>
          <w:lang w:val="en-GB"/>
        </w:rPr>
        <w:t>other</w:t>
      </w:r>
      <w:r>
        <w:rPr>
          <w:lang w:val="en-GB"/>
        </w:rPr>
        <w:t xml:space="preserve"> </w:t>
      </w:r>
      <w:r w:rsidRPr="00A5135B">
        <w:rPr>
          <w:lang w:val="en-GB"/>
        </w:rPr>
        <w:t>(meta)data.</w:t>
      </w:r>
    </w:p>
    <w:p w:rsidR="00A5135B" w:rsidRPr="00A5135B" w:rsidRDefault="00A5135B" w:rsidP="00A5135B">
      <w:pPr>
        <w:pStyle w:val="StandardWeb"/>
        <w:rPr>
          <w:lang w:val="en-GB"/>
        </w:rPr>
      </w:pPr>
      <w:r w:rsidRPr="00A5135B">
        <w:rPr>
          <w:rStyle w:val="Fett"/>
          <w:lang w:val="en-GB"/>
        </w:rPr>
        <w:t>To</w:t>
      </w:r>
      <w:r>
        <w:rPr>
          <w:rStyle w:val="Fett"/>
          <w:lang w:val="en-GB"/>
        </w:rPr>
        <w:t xml:space="preserve"> </w:t>
      </w:r>
      <w:r w:rsidRPr="00A5135B">
        <w:rPr>
          <w:rStyle w:val="Fett"/>
          <w:lang w:val="en-GB"/>
        </w:rPr>
        <w:t>be</w:t>
      </w:r>
      <w:r>
        <w:rPr>
          <w:rStyle w:val="Fett"/>
          <w:lang w:val="en-GB"/>
        </w:rPr>
        <w:t xml:space="preserve"> </w:t>
      </w:r>
      <w:r w:rsidRPr="00A5135B">
        <w:rPr>
          <w:rStyle w:val="Fett"/>
          <w:lang w:val="en-GB"/>
        </w:rPr>
        <w:t>Re-usable:</w:t>
      </w:r>
    </w:p>
    <w:p w:rsidR="00F95187" w:rsidRDefault="00A5135B" w:rsidP="00F95187">
      <w:pPr>
        <w:pStyle w:val="KeinLeerraum"/>
        <w:rPr>
          <w:lang w:val="en-GB"/>
        </w:rPr>
      </w:pPr>
      <w:proofErr w:type="spellStart"/>
      <w:r w:rsidRPr="00A5135B">
        <w:rPr>
          <w:lang w:val="en-GB"/>
        </w:rPr>
        <w:t>R1</w:t>
      </w:r>
      <w:proofErr w:type="spellEnd"/>
      <w:r w:rsidRPr="00A5135B">
        <w:rPr>
          <w:lang w:val="en-GB"/>
        </w:rPr>
        <w:t>.</w:t>
      </w:r>
      <w:r>
        <w:rPr>
          <w:lang w:val="en-GB"/>
        </w:rPr>
        <w:t xml:space="preserve"> </w:t>
      </w:r>
      <w:proofErr w:type="gramStart"/>
      <w:r w:rsidRPr="00A5135B">
        <w:rPr>
          <w:lang w:val="en-GB"/>
        </w:rPr>
        <w:t>meta(</w:t>
      </w:r>
      <w:proofErr w:type="gramEnd"/>
      <w:r w:rsidRPr="00A5135B">
        <w:rPr>
          <w:lang w:val="en-GB"/>
        </w:rPr>
        <w:t>data)</w:t>
      </w:r>
      <w:r>
        <w:rPr>
          <w:lang w:val="en-GB"/>
        </w:rPr>
        <w:t xml:space="preserve"> </w:t>
      </w:r>
      <w:r w:rsidRPr="00A5135B">
        <w:rPr>
          <w:lang w:val="en-GB"/>
        </w:rPr>
        <w:t>have</w:t>
      </w:r>
      <w:r>
        <w:rPr>
          <w:lang w:val="en-GB"/>
        </w:rPr>
        <w:t xml:space="preserve"> </w:t>
      </w:r>
      <w:r w:rsidRPr="00A5135B">
        <w:rPr>
          <w:lang w:val="en-GB"/>
        </w:rPr>
        <w:t>a</w:t>
      </w:r>
      <w:r>
        <w:rPr>
          <w:lang w:val="en-GB"/>
        </w:rPr>
        <w:t xml:space="preserve"> </w:t>
      </w:r>
      <w:r w:rsidRPr="00A5135B">
        <w:rPr>
          <w:lang w:val="en-GB"/>
        </w:rPr>
        <w:t>plurality</w:t>
      </w:r>
      <w:r>
        <w:rPr>
          <w:lang w:val="en-GB"/>
        </w:rPr>
        <w:t xml:space="preserve"> </w:t>
      </w:r>
      <w:r w:rsidRPr="00A5135B">
        <w:rPr>
          <w:lang w:val="en-GB"/>
        </w:rPr>
        <w:t>of</w:t>
      </w:r>
      <w:r>
        <w:rPr>
          <w:lang w:val="en-GB"/>
        </w:rPr>
        <w:t xml:space="preserve"> </w:t>
      </w:r>
      <w:r w:rsidRPr="00A5135B">
        <w:rPr>
          <w:lang w:val="en-GB"/>
        </w:rPr>
        <w:t>accurate</w:t>
      </w:r>
      <w:r>
        <w:rPr>
          <w:lang w:val="en-GB"/>
        </w:rPr>
        <w:t xml:space="preserve"> </w:t>
      </w:r>
      <w:r w:rsidRPr="00A5135B">
        <w:rPr>
          <w:lang w:val="en-GB"/>
        </w:rPr>
        <w:t>and</w:t>
      </w:r>
      <w:r>
        <w:rPr>
          <w:lang w:val="en-GB"/>
        </w:rPr>
        <w:t xml:space="preserve"> </w:t>
      </w:r>
      <w:r w:rsidRPr="00A5135B">
        <w:rPr>
          <w:lang w:val="en-GB"/>
        </w:rPr>
        <w:t>relevant</w:t>
      </w:r>
      <w:r>
        <w:rPr>
          <w:lang w:val="en-GB"/>
        </w:rPr>
        <w:t xml:space="preserve"> </w:t>
      </w:r>
      <w:r w:rsidRPr="00A5135B">
        <w:rPr>
          <w:lang w:val="en-GB"/>
        </w:rPr>
        <w:t>attributes.</w:t>
      </w:r>
    </w:p>
    <w:p w:rsidR="00F95187" w:rsidRDefault="00A5135B" w:rsidP="00F95187">
      <w:pPr>
        <w:pStyle w:val="KeinLeerraum"/>
        <w:rPr>
          <w:lang w:val="en-GB"/>
        </w:rPr>
      </w:pPr>
      <w:proofErr w:type="spellStart"/>
      <w:r w:rsidRPr="00A5135B">
        <w:rPr>
          <w:lang w:val="en-GB"/>
        </w:rPr>
        <w:t>R1.1</w:t>
      </w:r>
      <w:proofErr w:type="spellEnd"/>
      <w:r w:rsidRPr="00A5135B">
        <w:rPr>
          <w:lang w:val="en-GB"/>
        </w:rPr>
        <w:t>.</w:t>
      </w:r>
      <w:r>
        <w:rPr>
          <w:lang w:val="en-GB"/>
        </w:rPr>
        <w:t xml:space="preserve"> </w:t>
      </w:r>
      <w:r w:rsidRPr="00A5135B">
        <w:rPr>
          <w:lang w:val="en-GB"/>
        </w:rPr>
        <w:t>(meta</w:t>
      </w:r>
      <w:proofErr w:type="gramStart"/>
      <w:r w:rsidRPr="00A5135B">
        <w:rPr>
          <w:lang w:val="en-GB"/>
        </w:rPr>
        <w:t>)data</w:t>
      </w:r>
      <w:proofErr w:type="gramEnd"/>
      <w:r>
        <w:rPr>
          <w:lang w:val="en-GB"/>
        </w:rPr>
        <w:t xml:space="preserve"> </w:t>
      </w:r>
      <w:r w:rsidRPr="00A5135B">
        <w:rPr>
          <w:lang w:val="en-GB"/>
        </w:rPr>
        <w:t>are</w:t>
      </w:r>
      <w:r>
        <w:rPr>
          <w:lang w:val="en-GB"/>
        </w:rPr>
        <w:t xml:space="preserve"> </w:t>
      </w:r>
      <w:r w:rsidRPr="00A5135B">
        <w:rPr>
          <w:lang w:val="en-GB"/>
        </w:rPr>
        <w:t>released</w:t>
      </w:r>
      <w:r>
        <w:rPr>
          <w:lang w:val="en-GB"/>
        </w:rPr>
        <w:t xml:space="preserve"> </w:t>
      </w:r>
      <w:r w:rsidRPr="00A5135B">
        <w:rPr>
          <w:lang w:val="en-GB"/>
        </w:rPr>
        <w:t>with</w:t>
      </w:r>
      <w:r>
        <w:rPr>
          <w:lang w:val="en-GB"/>
        </w:rPr>
        <w:t xml:space="preserve"> </w:t>
      </w:r>
      <w:r w:rsidRPr="00A5135B">
        <w:rPr>
          <w:lang w:val="en-GB"/>
        </w:rPr>
        <w:t>a</w:t>
      </w:r>
      <w:r>
        <w:rPr>
          <w:lang w:val="en-GB"/>
        </w:rPr>
        <w:t xml:space="preserve"> </w:t>
      </w:r>
      <w:r w:rsidRPr="00A5135B">
        <w:rPr>
          <w:lang w:val="en-GB"/>
        </w:rPr>
        <w:t>clear</w:t>
      </w:r>
      <w:r>
        <w:rPr>
          <w:lang w:val="en-GB"/>
        </w:rPr>
        <w:t xml:space="preserve"> </w:t>
      </w:r>
      <w:r w:rsidRPr="00A5135B">
        <w:rPr>
          <w:lang w:val="en-GB"/>
        </w:rPr>
        <w:t>and</w:t>
      </w:r>
      <w:r>
        <w:rPr>
          <w:lang w:val="en-GB"/>
        </w:rPr>
        <w:t xml:space="preserve"> </w:t>
      </w:r>
      <w:r w:rsidRPr="00A5135B">
        <w:rPr>
          <w:lang w:val="en-GB"/>
        </w:rPr>
        <w:t>accessible</w:t>
      </w:r>
      <w:r>
        <w:rPr>
          <w:lang w:val="en-GB"/>
        </w:rPr>
        <w:t xml:space="preserve"> </w:t>
      </w:r>
      <w:r w:rsidRPr="00A5135B">
        <w:rPr>
          <w:lang w:val="en-GB"/>
        </w:rPr>
        <w:t>data</w:t>
      </w:r>
      <w:r>
        <w:rPr>
          <w:lang w:val="en-GB"/>
        </w:rPr>
        <w:t xml:space="preserve"> </w:t>
      </w:r>
      <w:r w:rsidRPr="00A5135B">
        <w:rPr>
          <w:lang w:val="en-GB"/>
        </w:rPr>
        <w:t>usage</w:t>
      </w:r>
      <w:r>
        <w:rPr>
          <w:lang w:val="en-GB"/>
        </w:rPr>
        <w:t xml:space="preserve"> </w:t>
      </w:r>
      <w:r w:rsidRPr="00A5135B">
        <w:rPr>
          <w:lang w:val="en-GB"/>
        </w:rPr>
        <w:t>license.</w:t>
      </w:r>
    </w:p>
    <w:p w:rsidR="00F95187" w:rsidRDefault="00A5135B" w:rsidP="00F95187">
      <w:pPr>
        <w:pStyle w:val="KeinLeerraum"/>
        <w:rPr>
          <w:lang w:val="en-GB"/>
        </w:rPr>
      </w:pPr>
      <w:proofErr w:type="spellStart"/>
      <w:r w:rsidRPr="00A5135B">
        <w:rPr>
          <w:lang w:val="en-GB"/>
        </w:rPr>
        <w:t>R1.2</w:t>
      </w:r>
      <w:proofErr w:type="spellEnd"/>
      <w:r w:rsidRPr="00A5135B">
        <w:rPr>
          <w:lang w:val="en-GB"/>
        </w:rPr>
        <w:t>.</w:t>
      </w:r>
      <w:r>
        <w:rPr>
          <w:lang w:val="en-GB"/>
        </w:rPr>
        <w:t xml:space="preserve"> </w:t>
      </w:r>
      <w:r w:rsidRPr="00A5135B">
        <w:rPr>
          <w:lang w:val="en-GB"/>
        </w:rPr>
        <w:t>(meta</w:t>
      </w:r>
      <w:proofErr w:type="gramStart"/>
      <w:r w:rsidRPr="00A5135B">
        <w:rPr>
          <w:lang w:val="en-GB"/>
        </w:rPr>
        <w:t>)data</w:t>
      </w:r>
      <w:proofErr w:type="gramEnd"/>
      <w:r>
        <w:rPr>
          <w:lang w:val="en-GB"/>
        </w:rPr>
        <w:t xml:space="preserve"> </w:t>
      </w:r>
      <w:r w:rsidRPr="00A5135B">
        <w:rPr>
          <w:lang w:val="en-GB"/>
        </w:rPr>
        <w:t>are</w:t>
      </w:r>
      <w:r>
        <w:rPr>
          <w:lang w:val="en-GB"/>
        </w:rPr>
        <w:t xml:space="preserve"> </w:t>
      </w:r>
      <w:r w:rsidRPr="00A5135B">
        <w:rPr>
          <w:lang w:val="en-GB"/>
        </w:rPr>
        <w:t>associated</w:t>
      </w:r>
      <w:r>
        <w:rPr>
          <w:lang w:val="en-GB"/>
        </w:rPr>
        <w:t xml:space="preserve"> </w:t>
      </w:r>
      <w:r w:rsidRPr="00A5135B">
        <w:rPr>
          <w:lang w:val="en-GB"/>
        </w:rPr>
        <w:t>with</w:t>
      </w:r>
      <w:r>
        <w:rPr>
          <w:lang w:val="en-GB"/>
        </w:rPr>
        <w:t xml:space="preserve"> </w:t>
      </w:r>
      <w:r w:rsidRPr="00A5135B">
        <w:rPr>
          <w:lang w:val="en-GB"/>
        </w:rPr>
        <w:t>their</w:t>
      </w:r>
      <w:r>
        <w:rPr>
          <w:lang w:val="en-GB"/>
        </w:rPr>
        <w:t xml:space="preserve"> </w:t>
      </w:r>
      <w:r w:rsidRPr="00A5135B">
        <w:rPr>
          <w:lang w:val="en-GB"/>
        </w:rPr>
        <w:t>provenance.</w:t>
      </w:r>
    </w:p>
    <w:p w:rsidR="00A5135B" w:rsidRPr="00A5135B" w:rsidRDefault="00A5135B" w:rsidP="00F95187">
      <w:pPr>
        <w:pStyle w:val="KeinLeerraum"/>
        <w:rPr>
          <w:lang w:val="en-GB"/>
        </w:rPr>
      </w:pPr>
      <w:proofErr w:type="spellStart"/>
      <w:r w:rsidRPr="00A5135B">
        <w:rPr>
          <w:lang w:val="en-GB"/>
        </w:rPr>
        <w:t>R1.3</w:t>
      </w:r>
      <w:proofErr w:type="spellEnd"/>
      <w:r w:rsidRPr="00A5135B">
        <w:rPr>
          <w:lang w:val="en-GB"/>
        </w:rPr>
        <w:t>.</w:t>
      </w:r>
      <w:r>
        <w:rPr>
          <w:lang w:val="en-GB"/>
        </w:rPr>
        <w:t xml:space="preserve"> </w:t>
      </w:r>
      <w:r w:rsidRPr="00A5135B">
        <w:rPr>
          <w:lang w:val="en-GB"/>
        </w:rPr>
        <w:t>(meta</w:t>
      </w:r>
      <w:proofErr w:type="gramStart"/>
      <w:r w:rsidRPr="00A5135B">
        <w:rPr>
          <w:lang w:val="en-GB"/>
        </w:rPr>
        <w:t>)data</w:t>
      </w:r>
      <w:proofErr w:type="gramEnd"/>
      <w:r>
        <w:rPr>
          <w:lang w:val="en-GB"/>
        </w:rPr>
        <w:t xml:space="preserve"> </w:t>
      </w:r>
      <w:r w:rsidRPr="00A5135B">
        <w:rPr>
          <w:lang w:val="en-GB"/>
        </w:rPr>
        <w:t>meet</w:t>
      </w:r>
      <w:r>
        <w:rPr>
          <w:lang w:val="en-GB"/>
        </w:rPr>
        <w:t xml:space="preserve"> </w:t>
      </w:r>
      <w:r w:rsidRPr="00A5135B">
        <w:rPr>
          <w:lang w:val="en-GB"/>
        </w:rPr>
        <w:t>domain-relevant</w:t>
      </w:r>
      <w:r>
        <w:rPr>
          <w:lang w:val="en-GB"/>
        </w:rPr>
        <w:t xml:space="preserve"> </w:t>
      </w:r>
      <w:r w:rsidRPr="00A5135B">
        <w:rPr>
          <w:lang w:val="en-GB"/>
        </w:rPr>
        <w:t>community</w:t>
      </w:r>
      <w:r>
        <w:rPr>
          <w:lang w:val="en-GB"/>
        </w:rPr>
        <w:t xml:space="preserve"> </w:t>
      </w:r>
      <w:r w:rsidRPr="00A5135B">
        <w:rPr>
          <w:lang w:val="en-GB"/>
        </w:rPr>
        <w:t>standards.</w:t>
      </w:r>
    </w:p>
    <w:p w:rsidR="00A5135B" w:rsidRDefault="00A5135B">
      <w:pPr>
        <w:rPr>
          <w:lang w:val="en-GB"/>
        </w:rPr>
      </w:pPr>
      <w:r>
        <w:rPr>
          <w:lang w:val="en-GB"/>
        </w:rPr>
        <w:br w:type="page"/>
      </w:r>
    </w:p>
    <w:p w:rsidR="00A5135B" w:rsidRPr="00A5135B" w:rsidRDefault="00A5135B" w:rsidP="00A5135B">
      <w:pPr>
        <w:pStyle w:val="berschrift1"/>
        <w:rPr>
          <w:lang w:val="en-GB"/>
        </w:rPr>
      </w:pPr>
      <w:r w:rsidRPr="00A5135B">
        <w:rPr>
          <w:lang w:val="en-GB"/>
        </w:rPr>
        <w:lastRenderedPageBreak/>
        <w:t xml:space="preserve">Annex B: RDA Data Foundation and Terminology - </w:t>
      </w:r>
      <w:proofErr w:type="spellStart"/>
      <w:r w:rsidRPr="00A5135B">
        <w:rPr>
          <w:lang w:val="en-GB"/>
        </w:rPr>
        <w:t>DFT</w:t>
      </w:r>
      <w:proofErr w:type="spellEnd"/>
      <w:r w:rsidRPr="00A5135B">
        <w:rPr>
          <w:lang w:val="en-GB"/>
        </w:rPr>
        <w:t>: Results RFC</w:t>
      </w:r>
    </w:p>
    <w:p w:rsidR="00A5135B" w:rsidRPr="00A5135B" w:rsidRDefault="00A5135B" w:rsidP="00A5135B">
      <w:pPr>
        <w:pStyle w:val="KeinLeerraum"/>
        <w:rPr>
          <w:lang w:val="en-GB"/>
        </w:rPr>
      </w:pPr>
    </w:p>
    <w:p w:rsidR="00A5135B" w:rsidRPr="00956224" w:rsidRDefault="00A5135B" w:rsidP="00A5135B">
      <w:pPr>
        <w:pStyle w:val="ParaAttribute1"/>
        <w:rPr>
          <w:rFonts w:ascii="Calibri" w:hAnsi="Calibri"/>
          <w:sz w:val="22"/>
          <w:szCs w:val="22"/>
        </w:rPr>
      </w:pPr>
      <w:r w:rsidRPr="00956224">
        <w:rPr>
          <w:rStyle w:val="CharAttribute8"/>
          <w:rFonts w:ascii="Calibri" w:eastAsia="Batang" w:hAnsi="Calibri"/>
          <w:sz w:val="22"/>
          <w:szCs w:val="22"/>
        </w:rPr>
        <w:t xml:space="preserve">The goals of </w:t>
      </w:r>
      <w:r>
        <w:rPr>
          <w:rStyle w:val="CharAttribute8"/>
          <w:rFonts w:ascii="Calibri" w:eastAsia="Batang" w:hAnsi="Calibri"/>
          <w:sz w:val="22"/>
          <w:szCs w:val="22"/>
        </w:rPr>
        <w:t xml:space="preserve">the </w:t>
      </w:r>
      <w:proofErr w:type="spellStart"/>
      <w:r>
        <w:rPr>
          <w:rStyle w:val="CharAttribute8"/>
          <w:rFonts w:ascii="Calibri" w:eastAsia="Batang" w:hAnsi="Calibri"/>
          <w:sz w:val="22"/>
          <w:szCs w:val="22"/>
        </w:rPr>
        <w:t>DFT</w:t>
      </w:r>
      <w:proofErr w:type="spellEnd"/>
      <w:r w:rsidRPr="00956224">
        <w:rPr>
          <w:rStyle w:val="CharAttribute8"/>
          <w:rFonts w:ascii="Calibri" w:eastAsia="Batang" w:hAnsi="Calibri"/>
          <w:sz w:val="22"/>
          <w:szCs w:val="22"/>
        </w:rPr>
        <w:t xml:space="preserve"> Working Group were:</w:t>
      </w:r>
    </w:p>
    <w:p w:rsidR="00A5135B" w:rsidRPr="00956224" w:rsidRDefault="00A5135B" w:rsidP="00A5135B">
      <w:pPr>
        <w:pStyle w:val="Listenabsatz"/>
        <w:numPr>
          <w:ilvl w:val="0"/>
          <w:numId w:val="1"/>
        </w:numPr>
        <w:jc w:val="left"/>
        <w:rPr>
          <w:rFonts w:ascii="Calibri" w:hAnsi="Calibri"/>
          <w:sz w:val="22"/>
          <w:szCs w:val="22"/>
        </w:rPr>
      </w:pPr>
      <w:r>
        <w:rPr>
          <w:rStyle w:val="CharAttribute8"/>
          <w:rFonts w:ascii="Calibri" w:eastAsia="Batang" w:hAnsi="Calibri"/>
          <w:sz w:val="22"/>
          <w:szCs w:val="22"/>
        </w:rPr>
        <w:t>Moving</w:t>
      </w:r>
      <w:r w:rsidRPr="00956224">
        <w:rPr>
          <w:rStyle w:val="CharAttribute8"/>
          <w:rFonts w:ascii="Calibri" w:eastAsia="Batang" w:hAnsi="Calibri"/>
          <w:sz w:val="22"/>
          <w:szCs w:val="22"/>
        </w:rPr>
        <w:t xml:space="preserve"> the discussion in the data community towards an agreed</w:t>
      </w:r>
      <w:r>
        <w:rPr>
          <w:rStyle w:val="CharAttribute8"/>
          <w:rFonts w:ascii="Calibri" w:eastAsia="Batang" w:hAnsi="Calibri"/>
          <w:sz w:val="22"/>
          <w:szCs w:val="22"/>
        </w:rPr>
        <w:t>, upon suite of terms relevant to RDA groups with a focus on</w:t>
      </w:r>
      <w:r w:rsidRPr="00956224">
        <w:rPr>
          <w:rStyle w:val="CharAttribute8"/>
          <w:rFonts w:ascii="Calibri" w:eastAsia="Batang" w:hAnsi="Calibri"/>
          <w:sz w:val="22"/>
          <w:szCs w:val="22"/>
        </w:rPr>
        <w:t xml:space="preserve"> basic core model</w:t>
      </w:r>
      <w:r>
        <w:rPr>
          <w:rStyle w:val="CharAttribute8"/>
          <w:rFonts w:ascii="Calibri" w:eastAsia="Batang" w:hAnsi="Calibri"/>
          <w:sz w:val="22"/>
          <w:szCs w:val="22"/>
        </w:rPr>
        <w:t xml:space="preserve"> of related terms</w:t>
      </w:r>
      <w:r w:rsidRPr="00956224">
        <w:rPr>
          <w:rStyle w:val="CharAttribute8"/>
          <w:rFonts w:ascii="Calibri" w:eastAsia="Batang" w:hAnsi="Calibri"/>
          <w:sz w:val="22"/>
          <w:szCs w:val="22"/>
        </w:rPr>
        <w:t xml:space="preserve"> </w:t>
      </w:r>
      <w:r>
        <w:rPr>
          <w:rStyle w:val="CharAttribute8"/>
          <w:rFonts w:ascii="Calibri" w:eastAsia="Batang" w:hAnsi="Calibri"/>
          <w:sz w:val="22"/>
          <w:szCs w:val="22"/>
        </w:rPr>
        <w:t>along with</w:t>
      </w:r>
      <w:r w:rsidRPr="00956224">
        <w:rPr>
          <w:rStyle w:val="CharAttribute8"/>
          <w:rFonts w:ascii="Calibri" w:eastAsia="Batang" w:hAnsi="Calibri"/>
          <w:sz w:val="22"/>
          <w:szCs w:val="22"/>
        </w:rPr>
        <w:t xml:space="preserve"> some basic principles that will harmonize the data organization solutions. </w:t>
      </w:r>
    </w:p>
    <w:p w:rsidR="00A5135B" w:rsidRDefault="00A5135B" w:rsidP="00A5135B">
      <w:pPr>
        <w:pStyle w:val="ParaAttribute1"/>
        <w:numPr>
          <w:ilvl w:val="0"/>
          <w:numId w:val="1"/>
        </w:numPr>
        <w:jc w:val="left"/>
        <w:rPr>
          <w:rStyle w:val="CharAttribute8"/>
          <w:rFonts w:eastAsia="Batang"/>
          <w:kern w:val="2"/>
          <w:lang w:val="en-US" w:eastAsia="ko-KR"/>
        </w:rPr>
      </w:pPr>
      <w:r w:rsidRPr="00956224">
        <w:rPr>
          <w:rStyle w:val="CharAttribute8"/>
          <w:rFonts w:ascii="Calibri" w:eastAsia="Batang" w:hAnsi="Calibri"/>
          <w:sz w:val="22"/>
          <w:szCs w:val="22"/>
        </w:rPr>
        <w:t>Fostering an</w:t>
      </w:r>
      <w:r>
        <w:rPr>
          <w:rStyle w:val="CharAttribute8"/>
          <w:rFonts w:ascii="Calibri" w:eastAsia="Batang" w:hAnsi="Calibri"/>
          <w:sz w:val="22"/>
          <w:szCs w:val="22"/>
        </w:rPr>
        <w:t xml:space="preserve"> effective </w:t>
      </w:r>
      <w:r w:rsidRPr="00956224">
        <w:rPr>
          <w:rStyle w:val="CharAttribute8"/>
          <w:rFonts w:ascii="Calibri" w:eastAsia="Batang" w:hAnsi="Calibri"/>
          <w:sz w:val="22"/>
          <w:szCs w:val="22"/>
        </w:rPr>
        <w:t xml:space="preserve">RDA community culture by </w:t>
      </w:r>
      <w:r>
        <w:rPr>
          <w:rStyle w:val="CharAttribute8"/>
          <w:rFonts w:ascii="Calibri" w:eastAsia="Batang" w:hAnsi="Calibri"/>
          <w:sz w:val="22"/>
          <w:szCs w:val="22"/>
        </w:rPr>
        <w:t>converging</w:t>
      </w:r>
      <w:r w:rsidRPr="00956224">
        <w:rPr>
          <w:rStyle w:val="CharAttribute8"/>
          <w:rFonts w:ascii="Calibri" w:eastAsia="Batang" w:hAnsi="Calibri"/>
          <w:sz w:val="22"/>
          <w:szCs w:val="22"/>
        </w:rPr>
        <w:t xml:space="preserve"> on </w:t>
      </w:r>
      <w:r>
        <w:rPr>
          <w:rStyle w:val="CharAttribute8"/>
          <w:rFonts w:ascii="Calibri" w:eastAsia="Batang" w:hAnsi="Calibri"/>
          <w:sz w:val="22"/>
          <w:szCs w:val="22"/>
        </w:rPr>
        <w:t>essential</w:t>
      </w:r>
      <w:r w:rsidRPr="00956224">
        <w:rPr>
          <w:rStyle w:val="CharAttribute8"/>
          <w:rFonts w:ascii="Calibri" w:eastAsia="Batang" w:hAnsi="Calibri"/>
          <w:sz w:val="22"/>
          <w:szCs w:val="22"/>
        </w:rPr>
        <w:t xml:space="preserve"> terminology arising from agreed upon reference models.</w:t>
      </w:r>
    </w:p>
    <w:p w:rsidR="00A5135B" w:rsidRPr="0067459E" w:rsidRDefault="00A5135B" w:rsidP="00A5135B">
      <w:pPr>
        <w:pStyle w:val="ParaAttribute1"/>
        <w:ind w:left="360"/>
        <w:jc w:val="left"/>
        <w:rPr>
          <w:rFonts w:ascii="Calibri" w:hAnsi="Calibri"/>
          <w:sz w:val="22"/>
          <w:szCs w:val="22"/>
        </w:rPr>
      </w:pPr>
    </w:p>
    <w:p w:rsidR="00A5135B" w:rsidRPr="00A15AB7" w:rsidRDefault="00A5135B" w:rsidP="00A5135B">
      <w:pPr>
        <w:pStyle w:val="KeinLeerraum"/>
        <w:jc w:val="both"/>
        <w:rPr>
          <w:lang w:val="en-GB"/>
        </w:rPr>
      </w:pPr>
      <w:r w:rsidRPr="00A15AB7">
        <w:rPr>
          <w:rStyle w:val="CharAttribute8"/>
          <w:rFonts w:asciiTheme="minorHAnsi" w:eastAsiaTheme="minorHAnsi"/>
          <w:sz w:val="22"/>
          <w:lang w:val="en-GB"/>
        </w:rPr>
        <w:t xml:space="preserve">Based on a variety of data models and use cases presented by experts coming from different disciplines and about 120 interviews and interactions with different scientists and scientific departments, the </w:t>
      </w:r>
      <w:proofErr w:type="spellStart"/>
      <w:r w:rsidRPr="00A15AB7">
        <w:rPr>
          <w:rStyle w:val="CharAttribute8"/>
          <w:rFonts w:asciiTheme="minorHAnsi" w:eastAsiaTheme="minorHAnsi"/>
          <w:sz w:val="22"/>
          <w:lang w:val="en-GB"/>
        </w:rPr>
        <w:t>DFT</w:t>
      </w:r>
      <w:proofErr w:type="spellEnd"/>
      <w:r w:rsidRPr="00A15AB7">
        <w:rPr>
          <w:rStyle w:val="CharAttribute8"/>
          <w:rFonts w:asciiTheme="minorHAnsi" w:eastAsiaTheme="minorHAnsi"/>
          <w:sz w:val="22"/>
          <w:lang w:val="en-GB"/>
        </w:rPr>
        <w:t xml:space="preserve"> </w:t>
      </w:r>
      <w:proofErr w:type="spellStart"/>
      <w:r w:rsidRPr="00A15AB7">
        <w:rPr>
          <w:rStyle w:val="CharAttribute8"/>
          <w:rFonts w:asciiTheme="minorHAnsi" w:eastAsiaTheme="minorHAnsi"/>
          <w:sz w:val="22"/>
          <w:lang w:val="en-GB"/>
        </w:rPr>
        <w:t>WG</w:t>
      </w:r>
      <w:proofErr w:type="spellEnd"/>
      <w:r w:rsidRPr="00A15AB7">
        <w:rPr>
          <w:rStyle w:val="CharAttribute8"/>
          <w:rFonts w:asciiTheme="minorHAnsi" w:eastAsiaTheme="minorHAnsi"/>
          <w:sz w:val="22"/>
          <w:lang w:val="en-GB"/>
        </w:rPr>
        <w:t xml:space="preserve"> has composed a number of simple definitions for digital data in a registered</w:t>
      </w:r>
      <w:r w:rsidRPr="00A5135B">
        <w:rPr>
          <w:rStyle w:val="Funotenzeichen"/>
          <w:vertAlign w:val="baseline"/>
        </w:rPr>
        <w:footnoteReference w:id="2"/>
      </w:r>
      <w:r w:rsidRPr="00A15AB7">
        <w:rPr>
          <w:rStyle w:val="CharAttribute8"/>
          <w:rFonts w:asciiTheme="minorHAnsi" w:eastAsiaTheme="minorHAnsi"/>
          <w:sz w:val="22"/>
          <w:lang w:val="en-GB"/>
        </w:rPr>
        <w:t xml:space="preserve"> domain based on group conceptualization and synthesis.</w:t>
      </w:r>
    </w:p>
    <w:p w:rsidR="00A5135B" w:rsidRPr="00A5135B" w:rsidRDefault="00A5135B" w:rsidP="00A5135B">
      <w:pPr>
        <w:pStyle w:val="berschrift2"/>
        <w:rPr>
          <w:lang w:val="en-GB"/>
        </w:rPr>
      </w:pPr>
      <w:bookmarkStart w:id="1" w:name="_Toc398538073"/>
      <w:r w:rsidRPr="00A5135B">
        <w:rPr>
          <w:lang w:val="en-GB"/>
        </w:rPr>
        <w:t xml:space="preserve">1. </w:t>
      </w:r>
      <w:proofErr w:type="spellStart"/>
      <w:r w:rsidRPr="00A5135B">
        <w:rPr>
          <w:lang w:val="en-GB"/>
        </w:rPr>
        <w:t>DFT</w:t>
      </w:r>
      <w:proofErr w:type="spellEnd"/>
      <w:r w:rsidRPr="00A5135B">
        <w:rPr>
          <w:lang w:val="en-GB"/>
        </w:rPr>
        <w:t xml:space="preserve"> Core Term Definitions</w:t>
      </w:r>
      <w:bookmarkEnd w:id="1"/>
    </w:p>
    <w:p w:rsidR="00A5135B" w:rsidRPr="00C04564" w:rsidRDefault="00A5135B" w:rsidP="00A5135B">
      <w:pPr>
        <w:pStyle w:val="berschrift3"/>
      </w:pPr>
      <w:bookmarkStart w:id="2" w:name="_Toc398538076"/>
      <w:r>
        <w:t xml:space="preserve">1.1 </w:t>
      </w:r>
      <w:r w:rsidRPr="00C04564">
        <w:t>Digital Object</w:t>
      </w:r>
      <w:r>
        <w:t xml:space="preserve"> (DO)</w:t>
      </w:r>
      <w:bookmarkEnd w:id="2"/>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A digital object (DO) is represented by a </w:t>
      </w:r>
      <w:proofErr w:type="spellStart"/>
      <w:r w:rsidRPr="00A5135B">
        <w:rPr>
          <w:b/>
          <w:lang w:val="en-GB"/>
        </w:rPr>
        <w:t>bitstream</w:t>
      </w:r>
      <w:proofErr w:type="spellEnd"/>
      <w:r w:rsidRPr="00A5135B">
        <w:rPr>
          <w:b/>
          <w:lang w:val="en-GB"/>
        </w:rPr>
        <w:t>, is referenced and identified</w:t>
      </w:r>
      <w:r w:rsidRPr="00F70154">
        <w:rPr>
          <w:rStyle w:val="Funotenzeichen"/>
          <w:b/>
        </w:rPr>
        <w:footnoteReference w:id="3"/>
      </w:r>
      <w:r w:rsidRPr="00A5135B">
        <w:rPr>
          <w:b/>
          <w:lang w:val="en-GB"/>
        </w:rPr>
        <w:t xml:space="preserve"> by a persistent identifier and has properties that are described by metadata. </w:t>
      </w:r>
    </w:p>
    <w:p w:rsidR="00A5135B" w:rsidRPr="00A5135B" w:rsidRDefault="00A5135B" w:rsidP="00A5135B">
      <w:pPr>
        <w:pStyle w:val="KeinLeerraum"/>
        <w:jc w:val="both"/>
        <w:rPr>
          <w:b/>
          <w:lang w:val="en-GB"/>
        </w:rPr>
      </w:pPr>
    </w:p>
    <w:p w:rsidR="00A5135B" w:rsidRPr="00A5135B" w:rsidRDefault="00A5135B" w:rsidP="00A5135B">
      <w:pPr>
        <w:pStyle w:val="KeinLeerraum"/>
        <w:jc w:val="both"/>
        <w:rPr>
          <w:b/>
          <w:i/>
          <w:lang w:val="en-GB"/>
        </w:rPr>
      </w:pPr>
      <w:r w:rsidRPr="00A5135B">
        <w:rPr>
          <w:b/>
          <w:i/>
          <w:lang w:val="en-GB"/>
        </w:rPr>
        <w:t xml:space="preserve">Note: As indicated we only talk about registered </w:t>
      </w:r>
      <w:proofErr w:type="spellStart"/>
      <w:r w:rsidRPr="00A5135B">
        <w:rPr>
          <w:b/>
          <w:i/>
          <w:lang w:val="en-GB"/>
        </w:rPr>
        <w:t>DOs</w:t>
      </w:r>
      <w:proofErr w:type="spellEnd"/>
      <w:r w:rsidRPr="00A5135B">
        <w:rPr>
          <w:b/>
          <w:i/>
          <w:lang w:val="en-GB"/>
        </w:rPr>
        <w:t xml:space="preserve"> in the context of this document. </w:t>
      </w:r>
    </w:p>
    <w:p w:rsidR="00A5135B" w:rsidRPr="00A5135B" w:rsidRDefault="00A5135B" w:rsidP="00A5135B">
      <w:pPr>
        <w:pStyle w:val="KeinLeerraum"/>
        <w:jc w:val="both"/>
        <w:rPr>
          <w:b/>
          <w:i/>
          <w:lang w:val="en-GB"/>
        </w:rPr>
      </w:pPr>
      <w:r w:rsidRPr="00A5135B">
        <w:rPr>
          <w:b/>
          <w:i/>
          <w:lang w:val="en-GB"/>
        </w:rPr>
        <w:t xml:space="preserve">Note: Properties included in metadata include discovery, contextual, schema, rights, curation and provenance information. </w:t>
      </w:r>
    </w:p>
    <w:p w:rsidR="00A5135B" w:rsidRPr="00A5135B" w:rsidRDefault="00A5135B" w:rsidP="00A5135B">
      <w:pPr>
        <w:pStyle w:val="KeinLeerraum"/>
        <w:rPr>
          <w:b/>
          <w:i/>
          <w:lang w:val="en-GB"/>
        </w:rPr>
      </w:pPr>
      <w:r w:rsidRPr="00A5135B">
        <w:rPr>
          <w:b/>
          <w:i/>
          <w:lang w:val="en-GB"/>
        </w:rPr>
        <w:t>Note: A DO is said to be a dynamic DO when the information content represented in a DO is changing for some period of time or even for an indefinite duration.</w:t>
      </w:r>
    </w:p>
    <w:p w:rsidR="00A5135B" w:rsidRPr="00C04564" w:rsidRDefault="00A5135B" w:rsidP="00A5135B">
      <w:pPr>
        <w:pStyle w:val="berschrift3"/>
      </w:pPr>
      <w:bookmarkStart w:id="3" w:name="_Toc398538077"/>
      <w:r>
        <w:t xml:space="preserve">1.2 </w:t>
      </w:r>
      <w:r w:rsidRPr="00C04564">
        <w:t>Persistent Identifier</w:t>
      </w:r>
      <w:r>
        <w:t xml:space="preserve"> (</w:t>
      </w:r>
      <w:proofErr w:type="spellStart"/>
      <w:r>
        <w:t>PID</w:t>
      </w:r>
      <w:proofErr w:type="spellEnd"/>
      <w:r>
        <w:t>)</w:t>
      </w:r>
      <w:bookmarkEnd w:id="3"/>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A persistent identifier is a long-lasting ID represented by a string that uniquely identifies a DO and that is intended to be persistently resolved to meaningful state information about the identified DO</w:t>
      </w:r>
      <w:r>
        <w:rPr>
          <w:rStyle w:val="Funotenzeichen"/>
          <w:b/>
        </w:rPr>
        <w:footnoteReference w:id="4"/>
      </w:r>
      <w:r w:rsidRPr="00A5135B">
        <w:rPr>
          <w:b/>
          <w:lang w:val="en-GB"/>
        </w:rPr>
        <w:t xml:space="preserve">. </w:t>
      </w:r>
    </w:p>
    <w:p w:rsidR="00A5135B" w:rsidRPr="00A5135B" w:rsidRDefault="00A5135B" w:rsidP="00A5135B">
      <w:pPr>
        <w:pStyle w:val="KeinLeerraum"/>
        <w:jc w:val="both"/>
        <w:rPr>
          <w:b/>
          <w:i/>
          <w:lang w:val="en-GB"/>
        </w:rPr>
      </w:pPr>
      <w:r w:rsidRPr="00A5135B">
        <w:rPr>
          <w:b/>
          <w:i/>
          <w:lang w:val="en-GB"/>
        </w:rPr>
        <w:t>Note: We use the term Persistent Resolvable Identifier as a synonym.</w:t>
      </w:r>
      <w:r w:rsidRPr="00A5135B">
        <w:rPr>
          <w:i/>
          <w:lang w:val="en-GB"/>
        </w:rPr>
        <w:t xml:space="preserve"> </w:t>
      </w:r>
    </w:p>
    <w:p w:rsidR="00A5135B" w:rsidRDefault="00A5135B" w:rsidP="00A5135B">
      <w:pPr>
        <w:pStyle w:val="berschrift3"/>
      </w:pPr>
      <w:bookmarkStart w:id="4" w:name="_Toc398538078"/>
      <w:r>
        <w:t xml:space="preserve">1.3 </w:t>
      </w:r>
      <w:proofErr w:type="spellStart"/>
      <w:r>
        <w:t>PID</w:t>
      </w:r>
      <w:proofErr w:type="spellEnd"/>
      <w:r>
        <w:t xml:space="preserve"> Record</w:t>
      </w:r>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A </w:t>
      </w:r>
      <w:proofErr w:type="spellStart"/>
      <w:r w:rsidRPr="00A5135B">
        <w:rPr>
          <w:b/>
          <w:lang w:val="en-GB"/>
        </w:rPr>
        <w:t>PID</w:t>
      </w:r>
      <w:proofErr w:type="spellEnd"/>
      <w:r w:rsidRPr="00A5135B">
        <w:rPr>
          <w:b/>
          <w:lang w:val="en-GB"/>
        </w:rPr>
        <w:t xml:space="preserve"> record contains a set of attributes stored with a </w:t>
      </w:r>
      <w:proofErr w:type="spellStart"/>
      <w:r w:rsidRPr="00A5135B">
        <w:rPr>
          <w:b/>
          <w:lang w:val="en-GB"/>
        </w:rPr>
        <w:t>PID</w:t>
      </w:r>
      <w:proofErr w:type="spellEnd"/>
      <w:r w:rsidRPr="00A5135B">
        <w:rPr>
          <w:b/>
          <w:lang w:val="en-GB"/>
        </w:rPr>
        <w:t xml:space="preserve"> describing DO properties</w:t>
      </w:r>
      <w:r w:rsidRPr="00A5135B">
        <w:rPr>
          <w:lang w:val="en-GB"/>
        </w:rPr>
        <w:t>.</w:t>
      </w:r>
    </w:p>
    <w:p w:rsidR="00A5135B" w:rsidRPr="00C04564" w:rsidRDefault="00A5135B" w:rsidP="00A5135B">
      <w:pPr>
        <w:pStyle w:val="berschrift3"/>
      </w:pPr>
      <w:r>
        <w:t xml:space="preserve">1.4 </w:t>
      </w:r>
      <w:proofErr w:type="spellStart"/>
      <w:r w:rsidRPr="00C04564">
        <w:t>PID</w:t>
      </w:r>
      <w:proofErr w:type="spellEnd"/>
      <w:r w:rsidRPr="00C04564">
        <w:t xml:space="preserve"> </w:t>
      </w:r>
      <w:r>
        <w:t xml:space="preserve">Resolver (aka </w:t>
      </w:r>
      <w:r w:rsidRPr="00C04564">
        <w:t>Resolution</w:t>
      </w:r>
      <w:r>
        <w:t xml:space="preserve"> System</w:t>
      </w:r>
      <w:bookmarkEnd w:id="4"/>
      <w:r>
        <w:t>)</w:t>
      </w:r>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A </w:t>
      </w:r>
      <w:proofErr w:type="spellStart"/>
      <w:r w:rsidRPr="00A5135B">
        <w:rPr>
          <w:b/>
          <w:lang w:val="en-GB"/>
        </w:rPr>
        <w:t>PID</w:t>
      </w:r>
      <w:proofErr w:type="spellEnd"/>
      <w:r w:rsidRPr="00A5135B">
        <w:rPr>
          <w:b/>
          <w:lang w:val="en-GB"/>
        </w:rPr>
        <w:t xml:space="preserve"> resolution system is a globally available infrastructure system that has the capability to resolve a </w:t>
      </w:r>
      <w:proofErr w:type="spellStart"/>
      <w:r w:rsidRPr="00A5135B">
        <w:rPr>
          <w:b/>
          <w:lang w:val="en-GB"/>
        </w:rPr>
        <w:t>PID</w:t>
      </w:r>
      <w:proofErr w:type="spellEnd"/>
      <w:r w:rsidRPr="00A5135B">
        <w:rPr>
          <w:b/>
          <w:lang w:val="en-GB"/>
        </w:rPr>
        <w:t xml:space="preserve"> into useful, current state information describing the properties of a DO</w:t>
      </w:r>
      <w:r>
        <w:rPr>
          <w:rStyle w:val="Funotenzeichen"/>
          <w:b/>
        </w:rPr>
        <w:footnoteReference w:id="5"/>
      </w:r>
      <w:r w:rsidRPr="00A5135B">
        <w:rPr>
          <w:b/>
          <w:lang w:val="en-GB"/>
        </w:rPr>
        <w:t>.</w:t>
      </w:r>
      <w:r w:rsidRPr="00A5135B">
        <w:rPr>
          <w:i/>
          <w:lang w:val="en-GB"/>
        </w:rPr>
        <w:t xml:space="preserve"> </w:t>
      </w:r>
    </w:p>
    <w:p w:rsidR="00A5135B" w:rsidRPr="00C04564" w:rsidRDefault="00A5135B" w:rsidP="00A5135B">
      <w:pPr>
        <w:pStyle w:val="berschrift3"/>
      </w:pPr>
      <w:bookmarkStart w:id="5" w:name="_Toc398538079"/>
      <w:r>
        <w:lastRenderedPageBreak/>
        <w:t xml:space="preserve">1.5 </w:t>
      </w:r>
      <w:r w:rsidRPr="00C04564">
        <w:t>Metadata</w:t>
      </w:r>
      <w:bookmarkEnd w:id="5"/>
      <w:r>
        <w:t xml:space="preserve"> </w:t>
      </w:r>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Metadata contains descriptive, contextual and provenance assertions about the properties of a DO. </w:t>
      </w:r>
    </w:p>
    <w:p w:rsidR="00A5135B" w:rsidRPr="00A5135B" w:rsidRDefault="00A5135B" w:rsidP="00A5135B">
      <w:pPr>
        <w:pStyle w:val="KeinLeerraum"/>
        <w:jc w:val="both"/>
        <w:rPr>
          <w:b/>
          <w:i/>
          <w:lang w:val="en-GB"/>
        </w:rPr>
      </w:pPr>
      <w:r w:rsidRPr="00A5135B">
        <w:rPr>
          <w:b/>
          <w:i/>
          <w:lang w:val="en-GB"/>
        </w:rPr>
        <w:t xml:space="preserve">Note: Such metadata will make the DO for example discoverable, accessible and usable/interpretable. </w:t>
      </w:r>
    </w:p>
    <w:p w:rsidR="00A5135B" w:rsidRPr="00A5135B" w:rsidRDefault="00A5135B" w:rsidP="00A5135B">
      <w:pPr>
        <w:pStyle w:val="KeinLeerraum"/>
        <w:jc w:val="both"/>
        <w:rPr>
          <w:b/>
          <w:i/>
          <w:lang w:val="en-GB"/>
        </w:rPr>
      </w:pPr>
      <w:r w:rsidRPr="00A5135B">
        <w:rPr>
          <w:b/>
          <w:i/>
          <w:lang w:val="en-GB"/>
        </w:rPr>
        <w:t xml:space="preserve">Note: To make metadata referable it needs to be associated with a </w:t>
      </w:r>
      <w:proofErr w:type="spellStart"/>
      <w:r w:rsidRPr="00A5135B">
        <w:rPr>
          <w:b/>
          <w:i/>
          <w:lang w:val="en-GB"/>
        </w:rPr>
        <w:t>PID</w:t>
      </w:r>
      <w:proofErr w:type="spellEnd"/>
      <w:r w:rsidRPr="00A5135B">
        <w:rPr>
          <w:b/>
          <w:i/>
          <w:lang w:val="en-GB"/>
        </w:rPr>
        <w:t xml:space="preserve"> and thus is a DO.</w:t>
      </w:r>
    </w:p>
    <w:p w:rsidR="00A5135B" w:rsidRPr="00A5135B" w:rsidRDefault="00A5135B" w:rsidP="00A5135B">
      <w:pPr>
        <w:pStyle w:val="KeinLeerraum"/>
        <w:jc w:val="both"/>
        <w:rPr>
          <w:b/>
          <w:i/>
          <w:lang w:val="en-GB"/>
        </w:rPr>
      </w:pPr>
      <w:r w:rsidRPr="00A5135B">
        <w:rPr>
          <w:b/>
          <w:i/>
          <w:lang w:val="en-GB"/>
        </w:rPr>
        <w:t xml:space="preserve">Note: Metadata minimally needs to contain the </w:t>
      </w:r>
      <w:proofErr w:type="spellStart"/>
      <w:r w:rsidRPr="00A5135B">
        <w:rPr>
          <w:b/>
          <w:i/>
          <w:lang w:val="en-GB"/>
        </w:rPr>
        <w:t>PID</w:t>
      </w:r>
      <w:proofErr w:type="spellEnd"/>
      <w:r w:rsidRPr="00A5135B">
        <w:rPr>
          <w:b/>
          <w:i/>
          <w:lang w:val="en-GB"/>
        </w:rPr>
        <w:t xml:space="preserve"> of the DO</w:t>
      </w:r>
      <w:r w:rsidRPr="00A5135B">
        <w:rPr>
          <w:i/>
          <w:lang w:val="en-GB"/>
        </w:rPr>
        <w:t xml:space="preserve">. </w:t>
      </w:r>
    </w:p>
    <w:p w:rsidR="00A5135B" w:rsidRPr="00C04564" w:rsidRDefault="00A5135B" w:rsidP="00A5135B">
      <w:pPr>
        <w:pStyle w:val="berschrift3"/>
      </w:pPr>
      <w:bookmarkStart w:id="6" w:name="_Toc398538080"/>
      <w:r>
        <w:t xml:space="preserve">1.6 </w:t>
      </w:r>
      <w:r w:rsidRPr="00C04564">
        <w:t>Aggregation</w:t>
      </w:r>
      <w:bookmarkEnd w:id="6"/>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rPr>
          <w:b/>
          <w:lang w:val="en-GB"/>
        </w:rPr>
      </w:pPr>
      <w:r w:rsidRPr="00A5135B">
        <w:rPr>
          <w:b/>
          <w:lang w:val="en-GB"/>
        </w:rPr>
        <w:t xml:space="preserve">A digital aggregation is a bundle of digital entities. </w:t>
      </w:r>
    </w:p>
    <w:p w:rsidR="00A5135B" w:rsidRPr="00A5135B" w:rsidRDefault="00A5135B" w:rsidP="00A5135B">
      <w:pPr>
        <w:pStyle w:val="KeinLeerraum"/>
        <w:rPr>
          <w:b/>
          <w:i/>
          <w:lang w:val="en-GB"/>
        </w:rPr>
      </w:pPr>
      <w:r w:rsidRPr="00A5135B">
        <w:rPr>
          <w:b/>
          <w:i/>
          <w:lang w:val="en-GB"/>
        </w:rPr>
        <w:t xml:space="preserve">Note: </w:t>
      </w:r>
      <w:r w:rsidRPr="00A5135B">
        <w:rPr>
          <w:b/>
          <w:i/>
          <w:iCs/>
          <w:lang w:val="en-GB"/>
        </w:rPr>
        <w:t>The term "aggregation" as a base concept does not add substantially to our understanding of the intuitive idea of collections as resulting from some aggregation process and thus is not used as a separately defined concept.</w:t>
      </w:r>
    </w:p>
    <w:p w:rsidR="00A5135B" w:rsidRPr="00C04564" w:rsidRDefault="00A5135B" w:rsidP="00A5135B">
      <w:pPr>
        <w:pStyle w:val="berschrift3"/>
      </w:pPr>
      <w:bookmarkStart w:id="7" w:name="_Toc398538081"/>
      <w:r>
        <w:t xml:space="preserve">1.7 </w:t>
      </w:r>
      <w:r w:rsidRPr="00C04564">
        <w:t>Digital Collection</w:t>
      </w:r>
      <w:bookmarkEnd w:id="7"/>
      <w:r>
        <w:t xml:space="preserve"> </w:t>
      </w:r>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A digital collection is an aggregation which contains </w:t>
      </w:r>
      <w:proofErr w:type="spellStart"/>
      <w:r w:rsidRPr="00A5135B">
        <w:rPr>
          <w:b/>
          <w:lang w:val="en-GB"/>
        </w:rPr>
        <w:t>DOs</w:t>
      </w:r>
      <w:proofErr w:type="spellEnd"/>
      <w:r w:rsidRPr="00A5135B">
        <w:rPr>
          <w:b/>
          <w:lang w:val="en-GB"/>
        </w:rPr>
        <w:t xml:space="preserve"> and </w:t>
      </w:r>
      <w:proofErr w:type="spellStart"/>
      <w:r w:rsidRPr="00A5135B">
        <w:rPr>
          <w:b/>
          <w:lang w:val="en-GB"/>
        </w:rPr>
        <w:t>DEs</w:t>
      </w:r>
      <w:proofErr w:type="spellEnd"/>
      <w:r w:rsidRPr="00A5135B">
        <w:rPr>
          <w:b/>
          <w:lang w:val="en-GB"/>
        </w:rPr>
        <w:t xml:space="preserve">. The collection is identified by a </w:t>
      </w:r>
      <w:proofErr w:type="spellStart"/>
      <w:r w:rsidRPr="00A5135B">
        <w:rPr>
          <w:b/>
          <w:lang w:val="en-GB"/>
        </w:rPr>
        <w:t>PID</w:t>
      </w:r>
      <w:proofErr w:type="spellEnd"/>
      <w:r w:rsidRPr="00A5135B">
        <w:rPr>
          <w:b/>
          <w:lang w:val="en-GB"/>
        </w:rPr>
        <w:t xml:space="preserve"> and described by metadata. </w:t>
      </w:r>
    </w:p>
    <w:p w:rsidR="00A5135B" w:rsidRPr="00A5135B" w:rsidRDefault="00A5135B" w:rsidP="00A5135B">
      <w:pPr>
        <w:pStyle w:val="KeinLeerraum"/>
        <w:jc w:val="both"/>
        <w:rPr>
          <w:b/>
          <w:i/>
          <w:lang w:val="en-GB"/>
        </w:rPr>
      </w:pPr>
      <w:r w:rsidRPr="00A5135B">
        <w:rPr>
          <w:b/>
          <w:i/>
          <w:lang w:val="en-GB"/>
        </w:rPr>
        <w:t xml:space="preserve">Note: A digital collection is a (complex) DO. </w:t>
      </w:r>
    </w:p>
    <w:p w:rsidR="00A5135B" w:rsidRPr="00A5135B" w:rsidRDefault="00A5135B" w:rsidP="00A5135B">
      <w:pPr>
        <w:pStyle w:val="KeinLeerraum"/>
        <w:jc w:val="both"/>
        <w:rPr>
          <w:b/>
          <w:i/>
          <w:lang w:val="en-GB"/>
        </w:rPr>
      </w:pPr>
      <w:r w:rsidRPr="00A5135B">
        <w:rPr>
          <w:b/>
          <w:i/>
          <w:lang w:val="en-GB"/>
        </w:rPr>
        <w:t>Note: A digital collection is an aggregation in so far as there are other types of aggregations</w:t>
      </w:r>
      <w:r w:rsidRPr="00A5135B">
        <w:rPr>
          <w:i/>
          <w:lang w:val="en-GB"/>
        </w:rPr>
        <w:t>.</w:t>
      </w:r>
      <w:bookmarkStart w:id="8" w:name="_Toc398538082"/>
    </w:p>
    <w:p w:rsidR="00A5135B" w:rsidRDefault="00A5135B" w:rsidP="00A5135B">
      <w:pPr>
        <w:pStyle w:val="berschrift3"/>
      </w:pPr>
      <w:r>
        <w:t>1.8 Digital Entity</w:t>
      </w:r>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rPr>
          <w:b/>
          <w:lang w:val="en-GB"/>
        </w:rPr>
      </w:pPr>
      <w:r w:rsidRPr="00A5135B">
        <w:rPr>
          <w:b/>
          <w:lang w:val="en-GB"/>
        </w:rPr>
        <w:t xml:space="preserve">A digital entity is anything that can be represented by a </w:t>
      </w:r>
      <w:proofErr w:type="spellStart"/>
      <w:r w:rsidRPr="00A5135B">
        <w:rPr>
          <w:b/>
          <w:lang w:val="en-GB"/>
        </w:rPr>
        <w:t>bitstream</w:t>
      </w:r>
      <w:proofErr w:type="spellEnd"/>
      <w:r w:rsidRPr="00A5135B">
        <w:rPr>
          <w:i/>
          <w:lang w:val="en-GB"/>
        </w:rPr>
        <w:t>.</w:t>
      </w:r>
    </w:p>
    <w:p w:rsidR="00A5135B" w:rsidRPr="00A73D82" w:rsidRDefault="00A5135B" w:rsidP="00A5135B">
      <w:pPr>
        <w:pStyle w:val="berschrift3"/>
      </w:pPr>
      <w:r>
        <w:t xml:space="preserve">1.9 </w:t>
      </w:r>
      <w:r w:rsidRPr="00A73D82">
        <w:t>Repository</w:t>
      </w:r>
      <w:bookmarkEnd w:id="8"/>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 xml:space="preserve">A digital repository is an infrastructure component that is able to store, manage and curate </w:t>
      </w:r>
      <w:proofErr w:type="spellStart"/>
      <w:r w:rsidRPr="00A5135B">
        <w:rPr>
          <w:b/>
          <w:lang w:val="en-GB"/>
        </w:rPr>
        <w:t>DOs</w:t>
      </w:r>
      <w:proofErr w:type="spellEnd"/>
      <w:r w:rsidRPr="00A5135B">
        <w:rPr>
          <w:b/>
          <w:lang w:val="en-GB"/>
        </w:rPr>
        <w:t xml:space="preserve"> and return their </w:t>
      </w:r>
      <w:proofErr w:type="spellStart"/>
      <w:r w:rsidRPr="00A5135B">
        <w:rPr>
          <w:b/>
          <w:lang w:val="en-GB"/>
        </w:rPr>
        <w:t>bitstreams</w:t>
      </w:r>
      <w:proofErr w:type="spellEnd"/>
      <w:r w:rsidRPr="00A5135B">
        <w:rPr>
          <w:b/>
          <w:lang w:val="en-GB"/>
        </w:rPr>
        <w:t xml:space="preserve"> when a request is being issued. </w:t>
      </w:r>
    </w:p>
    <w:p w:rsidR="00A5135B" w:rsidRPr="00A73D82" w:rsidRDefault="00A5135B" w:rsidP="00A5135B">
      <w:pPr>
        <w:pStyle w:val="berschrift3"/>
      </w:pPr>
      <w:bookmarkStart w:id="9" w:name="_Toc398538083"/>
      <w:r>
        <w:t xml:space="preserve">1.10 </w:t>
      </w:r>
      <w:proofErr w:type="spellStart"/>
      <w:r>
        <w:t>Bits</w:t>
      </w:r>
      <w:r w:rsidRPr="00A73D82">
        <w:t>tream</w:t>
      </w:r>
      <w:bookmarkEnd w:id="9"/>
      <w:proofErr w:type="spellEnd"/>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i/>
          <w:lang w:val="en-GB"/>
        </w:rPr>
      </w:pPr>
      <w:r w:rsidRPr="00A5135B">
        <w:rPr>
          <w:b/>
          <w:lang w:val="en-GB"/>
        </w:rPr>
        <w:t xml:space="preserve">A </w:t>
      </w:r>
      <w:proofErr w:type="spellStart"/>
      <w:r w:rsidRPr="00A5135B">
        <w:rPr>
          <w:b/>
          <w:lang w:val="en-GB"/>
        </w:rPr>
        <w:t>bitstream</w:t>
      </w:r>
      <w:proofErr w:type="spellEnd"/>
      <w:r w:rsidRPr="00A5135B">
        <w:rPr>
          <w:b/>
          <w:lang w:val="en-GB"/>
        </w:rPr>
        <w:t xml:space="preserve"> is a sequence of bits that encodes a specific content, either stored on some media or being transferred under control of protocols</w:t>
      </w:r>
      <w:r w:rsidRPr="00A5135B">
        <w:rPr>
          <w:i/>
          <w:lang w:val="en-GB"/>
        </w:rPr>
        <w:t>.</w:t>
      </w:r>
    </w:p>
    <w:p w:rsidR="00A5135B" w:rsidRPr="00A5135B" w:rsidRDefault="00A5135B" w:rsidP="00A5135B">
      <w:pPr>
        <w:pStyle w:val="KeinLeerraum"/>
        <w:jc w:val="both"/>
        <w:rPr>
          <w:b/>
          <w:lang w:val="en-GB"/>
        </w:rPr>
      </w:pPr>
      <w:r w:rsidRPr="00A5135B">
        <w:rPr>
          <w:b/>
          <w:i/>
          <w:lang w:val="en-GB"/>
        </w:rPr>
        <w:t>Note: The term "bit-sequence" is seen as a synonym in the context of DFT.</w:t>
      </w:r>
    </w:p>
    <w:p w:rsidR="00A5135B" w:rsidRPr="00F70154" w:rsidRDefault="00A5135B" w:rsidP="00A5135B">
      <w:pPr>
        <w:pStyle w:val="berschrift3"/>
        <w:rPr>
          <w:color w:val="auto"/>
        </w:rPr>
      </w:pPr>
      <w:bookmarkStart w:id="10" w:name="_Toc398538084"/>
      <w:r w:rsidRPr="00F70154">
        <w:rPr>
          <w:color w:val="auto"/>
        </w:rPr>
        <w:t>1.11 State Information</w:t>
      </w:r>
      <w:bookmarkEnd w:id="10"/>
    </w:p>
    <w:p w:rsidR="00A5135B" w:rsidRPr="00A15AB7" w:rsidRDefault="00A5135B" w:rsidP="00A5135B">
      <w:pPr>
        <w:pStyle w:val="KeinLeerraum"/>
        <w:rPr>
          <w:b/>
          <w:i/>
          <w:color w:val="0070C0"/>
          <w:lang w:val="en-GB"/>
        </w:rPr>
      </w:pPr>
      <w:r w:rsidRPr="00A15AB7">
        <w:rPr>
          <w:b/>
          <w:i/>
          <w:color w:val="0070C0"/>
          <w:lang w:val="en-GB"/>
        </w:rPr>
        <w:t>Definition</w:t>
      </w:r>
    </w:p>
    <w:p w:rsidR="00A5135B" w:rsidRPr="00A5135B" w:rsidRDefault="00A5135B" w:rsidP="00A5135B">
      <w:pPr>
        <w:pStyle w:val="KeinLeerraum"/>
        <w:jc w:val="both"/>
        <w:rPr>
          <w:b/>
          <w:lang w:val="en-GB"/>
        </w:rPr>
      </w:pPr>
      <w:r w:rsidRPr="00A5135B">
        <w:rPr>
          <w:b/>
          <w:lang w:val="en-GB"/>
        </w:rPr>
        <w:t>State information is “metadata” information that describes those current properties of the DO that are relevant for proper management and access</w:t>
      </w:r>
      <w:r w:rsidRPr="00A5135B">
        <w:rPr>
          <w:i/>
          <w:lang w:val="en-GB"/>
        </w:rPr>
        <w:t>.</w:t>
      </w:r>
    </w:p>
    <w:p w:rsidR="00A5135B" w:rsidRDefault="00A5135B" w:rsidP="00A5135B">
      <w:pPr>
        <w:pStyle w:val="berschrift3"/>
      </w:pPr>
      <w:proofErr w:type="spellStart"/>
      <w:r>
        <w:t>1.12Property</w:t>
      </w:r>
      <w:proofErr w:type="spellEnd"/>
    </w:p>
    <w:p w:rsidR="00A5135B" w:rsidRPr="00A5135B" w:rsidRDefault="00A5135B" w:rsidP="00A5135B">
      <w:pPr>
        <w:pStyle w:val="KeinLeerraum"/>
        <w:rPr>
          <w:b/>
          <w:i/>
          <w:color w:val="0070C0"/>
          <w:lang w:val="en-GB"/>
        </w:rPr>
      </w:pPr>
      <w:r w:rsidRPr="00A5135B">
        <w:rPr>
          <w:b/>
          <w:i/>
          <w:color w:val="0070C0"/>
          <w:lang w:val="en-GB"/>
        </w:rPr>
        <w:t>Definition</w:t>
      </w:r>
    </w:p>
    <w:p w:rsidR="00A5135B" w:rsidRPr="00A5135B" w:rsidRDefault="00A5135B" w:rsidP="00A5135B">
      <w:pPr>
        <w:pStyle w:val="KeinLeerraum"/>
        <w:jc w:val="both"/>
        <w:rPr>
          <w:b/>
          <w:lang w:val="en-GB"/>
        </w:rPr>
      </w:pPr>
      <w:r w:rsidRPr="00A5135B">
        <w:rPr>
          <w:b/>
          <w:lang w:val="en-GB"/>
        </w:rPr>
        <w:t>A property of a digital object specifies one of its characteristics as digital data</w:t>
      </w:r>
      <w:r w:rsidRPr="00A5135B">
        <w:rPr>
          <w:lang w:val="en-GB"/>
        </w:rPr>
        <w:t>.</w:t>
      </w:r>
    </w:p>
    <w:p w:rsidR="00A5135B" w:rsidRPr="007071F0" w:rsidRDefault="00A5135B" w:rsidP="00A5135B">
      <w:pPr>
        <w:pStyle w:val="berschrift3"/>
      </w:pPr>
      <w:r>
        <w:t>1.13 Metadata Repository</w:t>
      </w:r>
    </w:p>
    <w:p w:rsidR="00A5135B" w:rsidRPr="00A15AB7" w:rsidRDefault="00A5135B" w:rsidP="00A5135B">
      <w:pPr>
        <w:pStyle w:val="KeinLeerraum"/>
        <w:rPr>
          <w:b/>
          <w:i/>
          <w:color w:val="0070C0"/>
          <w:lang w:val="en-GB"/>
        </w:rPr>
      </w:pPr>
      <w:r w:rsidRPr="00A15AB7">
        <w:rPr>
          <w:b/>
          <w:i/>
          <w:color w:val="0070C0"/>
          <w:lang w:val="en-GB"/>
        </w:rPr>
        <w:t>Definition</w:t>
      </w:r>
    </w:p>
    <w:p w:rsidR="00A5135B" w:rsidRPr="00A5135B" w:rsidRDefault="00A5135B" w:rsidP="00A5135B">
      <w:pPr>
        <w:pStyle w:val="KeinLeerraum"/>
        <w:jc w:val="both"/>
        <w:rPr>
          <w:b/>
          <w:lang w:val="en-GB"/>
        </w:rPr>
      </w:pPr>
      <w:r w:rsidRPr="00A5135B">
        <w:rPr>
          <w:b/>
          <w:lang w:val="en-GB"/>
        </w:rPr>
        <w:t>A digital metadata repository is a digital repository that is able to store, manage and curate metadata.</w:t>
      </w:r>
    </w:p>
    <w:p w:rsidR="00A5135B" w:rsidRPr="00A5135B" w:rsidRDefault="00A5135B" w:rsidP="00A5135B">
      <w:pPr>
        <w:pStyle w:val="KeinLeerraum"/>
        <w:rPr>
          <w:b/>
          <w:i/>
          <w:lang w:val="en-GB"/>
        </w:rPr>
      </w:pPr>
      <w:r w:rsidRPr="00A5135B">
        <w:rPr>
          <w:b/>
          <w:i/>
          <w:lang w:val="en-GB"/>
        </w:rPr>
        <w:t>Note: A metadata repository is a digital repository.</w:t>
      </w:r>
    </w:p>
    <w:p w:rsidR="00A5135B" w:rsidRPr="00A5135B" w:rsidRDefault="00A5135B" w:rsidP="00A5135B">
      <w:pPr>
        <w:pStyle w:val="KeinLeerraum"/>
        <w:rPr>
          <w:b/>
          <w:i/>
          <w:lang w:val="en-GB"/>
        </w:rPr>
      </w:pPr>
      <w:r w:rsidRPr="00A5135B">
        <w:rPr>
          <w:b/>
          <w:i/>
          <w:lang w:val="en-GB"/>
        </w:rPr>
        <w:t>Note: Metadata can be aggregated by service providers to registries or catalogues.</w:t>
      </w:r>
    </w:p>
    <w:p w:rsidR="00A5135B" w:rsidRPr="00F70154" w:rsidRDefault="00A5135B" w:rsidP="00A5135B">
      <w:pPr>
        <w:pStyle w:val="berschrift3"/>
        <w:rPr>
          <w:color w:val="auto"/>
        </w:rPr>
      </w:pPr>
      <w:r w:rsidRPr="00F70154">
        <w:rPr>
          <w:color w:val="auto"/>
        </w:rPr>
        <w:lastRenderedPageBreak/>
        <w:t>1.14 Checksum</w:t>
      </w:r>
    </w:p>
    <w:p w:rsidR="00A5135B" w:rsidRPr="00A5135B" w:rsidRDefault="00A5135B" w:rsidP="00A5135B">
      <w:pPr>
        <w:pStyle w:val="KeinLeerraum"/>
        <w:rPr>
          <w:b/>
          <w:i/>
          <w:lang w:val="en-GB"/>
        </w:rPr>
      </w:pPr>
      <w:r w:rsidRPr="00A5135B">
        <w:rPr>
          <w:b/>
          <w:i/>
          <w:lang w:val="en-GB"/>
        </w:rPr>
        <w:t>Definition</w:t>
      </w:r>
    </w:p>
    <w:p w:rsidR="00A5135B" w:rsidRPr="00A5135B" w:rsidRDefault="00A5135B" w:rsidP="00A5135B">
      <w:pPr>
        <w:pStyle w:val="KeinLeerraum"/>
        <w:jc w:val="both"/>
        <w:rPr>
          <w:b/>
          <w:lang w:val="en-GB"/>
        </w:rPr>
      </w:pPr>
      <w:r w:rsidRPr="00A5135B">
        <w:rPr>
          <w:b/>
          <w:lang w:val="en-GB"/>
        </w:rPr>
        <w:t>A checksum is metadata and an important property of a digital object to allow verifying identity and integrity.</w:t>
      </w:r>
    </w:p>
    <w:p w:rsidR="00A5135B" w:rsidRPr="00A5135B" w:rsidRDefault="00A5135B" w:rsidP="00A5135B">
      <w:pPr>
        <w:pStyle w:val="berschrift2"/>
        <w:rPr>
          <w:rFonts w:eastAsia="Times New Roman"/>
          <w:lang w:val="en-GB"/>
        </w:rPr>
      </w:pPr>
      <w:r w:rsidRPr="00A5135B">
        <w:rPr>
          <w:rFonts w:eastAsia="Times New Roman"/>
          <w:lang w:val="en-GB"/>
        </w:rPr>
        <w:t>2. Basic Data Organization model</w:t>
      </w:r>
    </w:p>
    <w:p w:rsidR="00A5135B" w:rsidRPr="00A5135B" w:rsidRDefault="00A5135B" w:rsidP="00A5135B">
      <w:pPr>
        <w:pStyle w:val="KeinLeerraum"/>
        <w:jc w:val="both"/>
        <w:rPr>
          <w:lang w:val="en-GB"/>
        </w:rPr>
      </w:pPr>
      <w:r w:rsidRPr="00A5135B">
        <w:rPr>
          <w:lang w:val="en-GB"/>
        </w:rPr>
        <w:t xml:space="preserve">The data organization model which is the basis for the above term definitions has been drawn from the models that have been suggested to overcome the current deficits in dealing with data. It should be noted that this model only applies to the domain of registered data and that there may always be special requirements in the area of very large data sets for example. </w:t>
      </w:r>
    </w:p>
    <w:p w:rsidR="00A5135B" w:rsidRPr="00A5135B" w:rsidRDefault="00A5135B" w:rsidP="00A5135B">
      <w:pPr>
        <w:pStyle w:val="KeinLeerraum"/>
        <w:jc w:val="both"/>
        <w:rPr>
          <w:lang w:val="en-GB"/>
        </w:rPr>
      </w:pPr>
    </w:p>
    <w:p w:rsidR="00A5135B" w:rsidRDefault="00F47645" w:rsidP="00A5135B">
      <w:pPr>
        <w:pStyle w:val="KeinLeerraum"/>
        <w:jc w:val="both"/>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1699260</wp:posOffset>
                </wp:positionH>
                <wp:positionV relativeFrom="paragraph">
                  <wp:posOffset>1309370</wp:posOffset>
                </wp:positionV>
                <wp:extent cx="327660" cy="2514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C7B" w:rsidRPr="00842333" w:rsidRDefault="00791C7B" w:rsidP="00A5135B">
                            <w:pPr>
                              <w:rPr>
                                <w:b/>
                                <w:sz w:val="20"/>
                                <w:szCs w:val="20"/>
                              </w:rPr>
                            </w:pPr>
                            <w:proofErr w:type="spellStart"/>
                            <w:r w:rsidRPr="00842333">
                              <w:rPr>
                                <w:b/>
                                <w:sz w:val="20"/>
                                <w:szCs w:val="20"/>
                              </w:rPr>
                              <w:t>isa</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33.8pt;margin-top:103.1pt;width:25.8pt;height:19.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" filled="f" stroked="f" strokeweight=".5pt">
                <v:path arrowok="t"/>
                <v:textbox>
                  <w:txbxContent>
                    <w:p w:rsidR="00791C7B" w:rsidRPr="00842333" w:rsidRDefault="00791C7B" w:rsidP="00A5135B">
                      <w:pPr>
                        <w:rPr>
                          <w:b/>
                          <w:sz w:val="20"/>
                          <w:szCs w:val="20"/>
                        </w:rPr>
                      </w:pPr>
                      <w:r w:rsidRPr="00842333">
                        <w:rPr>
                          <w:b/>
                          <w:sz w:val="20"/>
                          <w:szCs w:val="20"/>
                        </w:rPr>
                        <w:t>isa</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1634490</wp:posOffset>
                </wp:positionH>
                <wp:positionV relativeFrom="paragraph">
                  <wp:posOffset>1263650</wp:posOffset>
                </wp:positionV>
                <wp:extent cx="1295400" cy="179070"/>
                <wp:effectExtent l="0" t="38100" r="57150" b="11430"/>
                <wp:wrapNone/>
                <wp:docPr id="2" name="Freihand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79070"/>
                        </a:xfrm>
                        <a:custGeom>
                          <a:avLst/>
                          <a:gdLst>
                            <a:gd name="connsiteX0" fmla="*/ 0 w 1295400"/>
                            <a:gd name="connsiteY0" fmla="*/ 0 h 179200"/>
                            <a:gd name="connsiteX1" fmla="*/ 678180 w 1295400"/>
                            <a:gd name="connsiteY1" fmla="*/ 179070 h 179200"/>
                            <a:gd name="connsiteX2" fmla="*/ 1295400 w 1295400"/>
                            <a:gd name="connsiteY2" fmla="*/ 22860 h 179200"/>
                          </a:gdLst>
                          <a:ahLst/>
                          <a:cxnLst>
                            <a:cxn ang="0">
                              <a:pos x="connsiteX0" y="connsiteY0"/>
                            </a:cxn>
                            <a:cxn ang="0">
                              <a:pos x="connsiteX1" y="connsiteY1"/>
                            </a:cxn>
                            <a:cxn ang="0">
                              <a:pos x="connsiteX2" y="connsiteY2"/>
                            </a:cxn>
                          </a:cxnLst>
                          <a:rect l="l" t="t" r="r" b="b"/>
                          <a:pathLst>
                            <a:path w="1295400" h="179200">
                              <a:moveTo>
                                <a:pt x="0" y="0"/>
                              </a:moveTo>
                              <a:cubicBezTo>
                                <a:pt x="231140" y="87630"/>
                                <a:pt x="462280" y="175260"/>
                                <a:pt x="678180" y="179070"/>
                              </a:cubicBezTo>
                              <a:cubicBezTo>
                                <a:pt x="894080" y="182880"/>
                                <a:pt x="1094740" y="102870"/>
                                <a:pt x="1295400" y="22860"/>
                              </a:cubicBezTo>
                            </a:path>
                          </a:pathLst>
                        </a:custGeom>
                        <a:noFill/>
                        <a:ln w="63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ihandform 2" o:spid="_x0000_s1026" style="position:absolute;margin-left:128.7pt;margin-top:99.5pt;width:10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95400,17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" path="m,c231140,87630,462280,175260,678180,179070v215900,3810,416560,-76200,617220,-156210e" filled="f" strokecolor="black [3213]" strokeweight=".5pt">
                <v:stroke endarrow="open"/>
                <v:path arrowok="t" o:connecttype="custom" o:connectlocs="0,0;678180,178940;1295400,22843" o:connectangles="0,0,0"/>
              </v:shape>
            </w:pict>
          </mc:Fallback>
        </mc:AlternateContent>
      </w:r>
      <w:r w:rsidR="00A5135B">
        <w:rPr>
          <w:noProof/>
          <w:lang w:eastAsia="de-DE"/>
        </w:rPr>
        <w:drawing>
          <wp:inline distT="0" distB="0" distL="0" distR="0">
            <wp:extent cx="5481977" cy="432573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3922" cy="4327265"/>
                    </a:xfrm>
                    <a:prstGeom prst="rect">
                      <a:avLst/>
                    </a:prstGeom>
                    <a:noFill/>
                  </pic:spPr>
                </pic:pic>
              </a:graphicData>
            </a:graphic>
          </wp:inline>
        </w:drawing>
      </w:r>
    </w:p>
    <w:p w:rsidR="00A5135B" w:rsidRDefault="00A5135B" w:rsidP="00A5135B">
      <w:pPr>
        <w:pStyle w:val="KeinLeerraum"/>
        <w:rPr>
          <w:lang w:val="en-GB"/>
        </w:rPr>
      </w:pPr>
    </w:p>
    <w:p w:rsidR="00A5135B" w:rsidRPr="00A5135B" w:rsidRDefault="00A5135B" w:rsidP="00A5135B">
      <w:pPr>
        <w:pStyle w:val="KeinLeerraum"/>
        <w:rPr>
          <w:lang w:val="en-GB"/>
        </w:rPr>
      </w:pPr>
    </w:p>
    <w:sectPr w:rsidR="00A5135B" w:rsidRPr="00A5135B" w:rsidSect="00A5135B">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50" w:rsidRDefault="00177350" w:rsidP="00A5135B">
      <w:pPr>
        <w:spacing w:after="0" w:line="240" w:lineRule="auto"/>
      </w:pPr>
      <w:r>
        <w:separator/>
      </w:r>
    </w:p>
  </w:endnote>
  <w:endnote w:type="continuationSeparator" w:id="0">
    <w:p w:rsidR="00177350" w:rsidRDefault="00177350" w:rsidP="00A5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50" w:rsidRDefault="00177350" w:rsidP="00A5135B">
      <w:pPr>
        <w:spacing w:after="0" w:line="240" w:lineRule="auto"/>
      </w:pPr>
      <w:r>
        <w:separator/>
      </w:r>
    </w:p>
  </w:footnote>
  <w:footnote w:type="continuationSeparator" w:id="0">
    <w:p w:rsidR="00177350" w:rsidRDefault="00177350" w:rsidP="00A5135B">
      <w:pPr>
        <w:spacing w:after="0" w:line="240" w:lineRule="auto"/>
      </w:pPr>
      <w:r>
        <w:continuationSeparator/>
      </w:r>
    </w:p>
  </w:footnote>
  <w:footnote w:id="1">
    <w:p w:rsidR="001820B5" w:rsidRPr="001820B5" w:rsidRDefault="001820B5">
      <w:pPr>
        <w:pStyle w:val="Funotentext"/>
      </w:pPr>
      <w:r>
        <w:rPr>
          <w:rStyle w:val="Funotenzeichen"/>
        </w:rPr>
        <w:footnoteRef/>
      </w:r>
      <w:r>
        <w:t xml:space="preserve"> FAIR combines “(meta) data” as a short hand indicating that the statements hold for data and metadata.</w:t>
      </w:r>
    </w:p>
  </w:footnote>
  <w:footnote w:id="2">
    <w:p w:rsidR="00791C7B" w:rsidRPr="00A5135B" w:rsidRDefault="00791C7B" w:rsidP="00A5135B">
      <w:pPr>
        <w:pStyle w:val="Funotentext"/>
      </w:pPr>
      <w:r w:rsidRPr="0000579C">
        <w:rPr>
          <w:rStyle w:val="Funotenzeichen"/>
        </w:rPr>
        <w:footnoteRef/>
      </w:r>
      <w:r w:rsidRPr="0000579C">
        <w:t xml:space="preserve"> </w:t>
      </w:r>
      <w:r w:rsidRPr="00A5135B">
        <w:rPr>
          <w:rStyle w:val="CharAttribute10"/>
          <w:rFonts w:asciiTheme="minorHAnsi" w:eastAsia="Batang"/>
          <w:sz w:val="20"/>
        </w:rPr>
        <w:t xml:space="preserve">There will always </w:t>
      </w:r>
      <w:proofErr w:type="gramStart"/>
      <w:r w:rsidRPr="00A5135B">
        <w:rPr>
          <w:rStyle w:val="CharAttribute10"/>
          <w:rFonts w:asciiTheme="minorHAnsi" w:eastAsia="Batang"/>
          <w:sz w:val="20"/>
        </w:rPr>
        <w:t>exist</w:t>
      </w:r>
      <w:proofErr w:type="gramEnd"/>
      <w:r w:rsidRPr="00A5135B">
        <w:rPr>
          <w:rStyle w:val="CharAttribute10"/>
          <w:rFonts w:asciiTheme="minorHAnsi" w:eastAsia="Batang"/>
          <w:sz w:val="20"/>
        </w:rPr>
        <w:t xml:space="preserve"> data in private, temporary stores, which will not be organized and made accessible in a standard way. </w:t>
      </w:r>
    </w:p>
  </w:footnote>
  <w:footnote w:id="3">
    <w:p w:rsidR="00791C7B" w:rsidRPr="00F70154" w:rsidRDefault="00791C7B" w:rsidP="00A5135B">
      <w:pPr>
        <w:pStyle w:val="Funotentext"/>
      </w:pPr>
      <w:r w:rsidRPr="00F70154">
        <w:rPr>
          <w:rStyle w:val="Funotenzeichen"/>
        </w:rPr>
        <w:footnoteRef/>
      </w:r>
      <w:r w:rsidRPr="00F70154">
        <w:t xml:space="preserve"> Various repositories include passport-like metadata information along with the </w:t>
      </w:r>
      <w:proofErr w:type="spellStart"/>
      <w:r w:rsidRPr="00F70154">
        <w:t>PID</w:t>
      </w:r>
      <w:proofErr w:type="spellEnd"/>
      <w:r w:rsidRPr="00F70154">
        <w:t xml:space="preserve"> which goes beyond pure referencing. </w:t>
      </w:r>
    </w:p>
  </w:footnote>
  <w:footnote w:id="4">
    <w:p w:rsidR="00791C7B" w:rsidRPr="0083783B" w:rsidRDefault="00791C7B" w:rsidP="00A5135B">
      <w:pPr>
        <w:pStyle w:val="Funotentext"/>
      </w:pPr>
      <w:r w:rsidRPr="00F70154">
        <w:rPr>
          <w:rStyle w:val="Funotenzeichen"/>
        </w:rPr>
        <w:footnoteRef/>
      </w:r>
      <w:r w:rsidRPr="00F70154">
        <w:t xml:space="preserve"> This can be information such as checksum, access paths, references to additional information, etc. Some repositories call this administrative or system metadata, but some think a minimal set of attributes to be included has not been well defined yet. In cases where the digital objects do not exist anymore, due to finite lifetime for example, the </w:t>
      </w:r>
      <w:proofErr w:type="spellStart"/>
      <w:r w:rsidRPr="00F70154">
        <w:t>PID</w:t>
      </w:r>
      <w:proofErr w:type="spellEnd"/>
      <w:r w:rsidRPr="00F70154">
        <w:t xml:space="preserve"> is expected to continue to exist and can still be resolved into useful information</w:t>
      </w:r>
      <w:r>
        <w:t xml:space="preserve">. </w:t>
      </w:r>
    </w:p>
  </w:footnote>
  <w:footnote w:id="5">
    <w:p w:rsidR="00791C7B" w:rsidRDefault="00791C7B" w:rsidP="00A5135B">
      <w:pPr>
        <w:pStyle w:val="Funotentext"/>
      </w:pPr>
      <w:r>
        <w:rPr>
          <w:rStyle w:val="Funotenzeichen"/>
        </w:rPr>
        <w:footnoteRef/>
      </w:r>
      <w:r>
        <w:t xml:space="preserve"> There are a couple of comparisons such as </w:t>
      </w:r>
      <w:hyperlink r:id="rId1" w:history="1">
        <w:r w:rsidRPr="00E06AC4">
          <w:rPr>
            <w:rStyle w:val="Hyperlink"/>
          </w:rPr>
          <w:t>http://</w:t>
        </w:r>
        <w:proofErr w:type="spellStart"/>
        <w:r w:rsidRPr="00E06AC4">
          <w:rPr>
            <w:rStyle w:val="Hyperlink"/>
          </w:rPr>
          <w:t>www.clarin.eu</w:t>
        </w:r>
        <w:proofErr w:type="spellEnd"/>
        <w:r w:rsidRPr="00E06AC4">
          <w:rPr>
            <w:rStyle w:val="Hyperlink"/>
          </w:rPr>
          <w:t>/content/comparison-</w:t>
        </w:r>
        <w:proofErr w:type="spellStart"/>
        <w:r w:rsidRPr="00E06AC4">
          <w:rPr>
            <w:rStyle w:val="Hyperlink"/>
          </w:rPr>
          <w:t>pid</w:t>
        </w:r>
        <w:proofErr w:type="spellEnd"/>
        <w:r w:rsidRPr="00E06AC4">
          <w:rPr>
            <w:rStyle w:val="Hyperlink"/>
          </w:rPr>
          <w:t>-systems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8F3"/>
    <w:multiLevelType w:val="hybridMultilevel"/>
    <w:tmpl w:val="26A04F3C"/>
    <w:lvl w:ilvl="0" w:tplc="658C2044">
      <w:start w:val="1"/>
      <w:numFmt w:val="bullet"/>
      <w:lvlText w:val=""/>
      <w:lvlJc w:val="left"/>
      <w:pPr>
        <w:ind w:left="360" w:hanging="360"/>
      </w:pPr>
      <w:rPr>
        <w:rFonts w:ascii="Symbol" w:eastAsia="Calibri" w:hAnsi="Symbol" w:hint="default"/>
        <w:b/>
      </w:rPr>
    </w:lvl>
    <w:lvl w:ilvl="1" w:tplc="549C5824">
      <w:start w:val="1"/>
      <w:numFmt w:val="bullet"/>
      <w:lvlText w:val=""/>
      <w:lvlJc w:val="left"/>
      <w:pPr>
        <w:ind w:left="360" w:hanging="360"/>
      </w:pPr>
      <w:rPr>
        <w:rFonts w:ascii="Symbol" w:eastAsia="Calibri" w:hAnsi="Symbol" w:hint="default"/>
        <w:b/>
      </w:rPr>
    </w:lvl>
    <w:lvl w:ilvl="2" w:tplc="B364BB74">
      <w:start w:val="1"/>
      <w:numFmt w:val="bullet"/>
      <w:lvlText w:val=""/>
      <w:lvlJc w:val="left"/>
      <w:pPr>
        <w:ind w:left="360" w:hanging="360"/>
      </w:pPr>
      <w:rPr>
        <w:rFonts w:ascii="Symbol" w:eastAsia="Calibri" w:hAnsi="Symbol" w:hint="default"/>
        <w:b/>
      </w:rPr>
    </w:lvl>
    <w:lvl w:ilvl="3" w:tplc="FCEEDDBC">
      <w:start w:val="1"/>
      <w:numFmt w:val="bullet"/>
      <w:lvlText w:val=""/>
      <w:lvlJc w:val="left"/>
      <w:pPr>
        <w:ind w:left="360" w:hanging="360"/>
      </w:pPr>
      <w:rPr>
        <w:rFonts w:ascii="Symbol" w:eastAsia="Calibri" w:hAnsi="Symbol" w:hint="default"/>
        <w:b/>
      </w:rPr>
    </w:lvl>
    <w:lvl w:ilvl="4" w:tplc="22321B82">
      <w:start w:val="1"/>
      <w:numFmt w:val="bullet"/>
      <w:lvlText w:val=""/>
      <w:lvlJc w:val="left"/>
      <w:pPr>
        <w:ind w:left="360" w:hanging="360"/>
      </w:pPr>
      <w:rPr>
        <w:rFonts w:ascii="Symbol" w:eastAsia="Calibri" w:hAnsi="Symbol" w:hint="default"/>
        <w:b/>
      </w:rPr>
    </w:lvl>
    <w:lvl w:ilvl="5" w:tplc="99AC032C">
      <w:start w:val="1"/>
      <w:numFmt w:val="bullet"/>
      <w:lvlText w:val=""/>
      <w:lvlJc w:val="left"/>
      <w:pPr>
        <w:ind w:left="360" w:hanging="360"/>
      </w:pPr>
      <w:rPr>
        <w:rFonts w:ascii="Symbol" w:eastAsia="Calibri" w:hAnsi="Symbol" w:hint="default"/>
        <w:b/>
      </w:rPr>
    </w:lvl>
    <w:lvl w:ilvl="6" w:tplc="0F94E338">
      <w:start w:val="1"/>
      <w:numFmt w:val="bullet"/>
      <w:lvlText w:val=""/>
      <w:lvlJc w:val="left"/>
      <w:pPr>
        <w:ind w:left="360" w:hanging="360"/>
      </w:pPr>
      <w:rPr>
        <w:rFonts w:ascii="Symbol" w:eastAsia="Calibri" w:hAnsi="Symbol" w:hint="default"/>
        <w:b/>
      </w:rPr>
    </w:lvl>
    <w:lvl w:ilvl="7" w:tplc="5FCEC5B0">
      <w:start w:val="1"/>
      <w:numFmt w:val="bullet"/>
      <w:lvlText w:val=""/>
      <w:lvlJc w:val="left"/>
      <w:pPr>
        <w:ind w:left="360" w:hanging="360"/>
      </w:pPr>
      <w:rPr>
        <w:rFonts w:ascii="Symbol" w:eastAsia="Calibri" w:hAnsi="Symbol" w:hint="default"/>
        <w:b/>
      </w:rPr>
    </w:lvl>
    <w:lvl w:ilvl="8" w:tplc="89DE764C">
      <w:start w:val="1"/>
      <w:numFmt w:val="bullet"/>
      <w:lvlText w:val=""/>
      <w:lvlJc w:val="left"/>
      <w:pPr>
        <w:ind w:left="360" w:hanging="360"/>
      </w:pPr>
      <w:rPr>
        <w:rFonts w:ascii="Symbol" w:eastAsia="Calibri" w:hAnsi="Symbol" w:hint="default"/>
        <w:b/>
      </w:rPr>
    </w:lvl>
  </w:abstractNum>
  <w:abstractNum w:abstractNumId="1">
    <w:nsid w:val="4C22014D"/>
    <w:multiLevelType w:val="hybridMultilevel"/>
    <w:tmpl w:val="1AF8E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583AFA"/>
    <w:multiLevelType w:val="hybridMultilevel"/>
    <w:tmpl w:val="6F64B7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E973CE5"/>
    <w:multiLevelType w:val="hybridMultilevel"/>
    <w:tmpl w:val="B3E4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5B"/>
    <w:rsid w:val="00025003"/>
    <w:rsid w:val="0004692B"/>
    <w:rsid w:val="00071B87"/>
    <w:rsid w:val="00077316"/>
    <w:rsid w:val="00176E01"/>
    <w:rsid w:val="00177350"/>
    <w:rsid w:val="001820B5"/>
    <w:rsid w:val="001B075D"/>
    <w:rsid w:val="001D20B4"/>
    <w:rsid w:val="0020100F"/>
    <w:rsid w:val="002618A0"/>
    <w:rsid w:val="00287ADB"/>
    <w:rsid w:val="00310D08"/>
    <w:rsid w:val="003161D2"/>
    <w:rsid w:val="00375B11"/>
    <w:rsid w:val="00427A01"/>
    <w:rsid w:val="004507FA"/>
    <w:rsid w:val="0049267B"/>
    <w:rsid w:val="0055730E"/>
    <w:rsid w:val="005928F5"/>
    <w:rsid w:val="0060644A"/>
    <w:rsid w:val="006208E6"/>
    <w:rsid w:val="00627ADB"/>
    <w:rsid w:val="00635DB3"/>
    <w:rsid w:val="00662958"/>
    <w:rsid w:val="006866E4"/>
    <w:rsid w:val="006A0D79"/>
    <w:rsid w:val="006E4433"/>
    <w:rsid w:val="00701CFF"/>
    <w:rsid w:val="00747AFA"/>
    <w:rsid w:val="007719D0"/>
    <w:rsid w:val="0077221A"/>
    <w:rsid w:val="00773087"/>
    <w:rsid w:val="0077742C"/>
    <w:rsid w:val="00791C7B"/>
    <w:rsid w:val="00796520"/>
    <w:rsid w:val="007A1284"/>
    <w:rsid w:val="0082598C"/>
    <w:rsid w:val="00902020"/>
    <w:rsid w:val="00A04566"/>
    <w:rsid w:val="00A15AB7"/>
    <w:rsid w:val="00A230E5"/>
    <w:rsid w:val="00A5135B"/>
    <w:rsid w:val="00A82933"/>
    <w:rsid w:val="00AB6405"/>
    <w:rsid w:val="00BE7ADD"/>
    <w:rsid w:val="00BF6E74"/>
    <w:rsid w:val="00C07577"/>
    <w:rsid w:val="00C413AE"/>
    <w:rsid w:val="00CA23FC"/>
    <w:rsid w:val="00CF7F6B"/>
    <w:rsid w:val="00D102DA"/>
    <w:rsid w:val="00D11F85"/>
    <w:rsid w:val="00D202AC"/>
    <w:rsid w:val="00D5642B"/>
    <w:rsid w:val="00DB7190"/>
    <w:rsid w:val="00E565F1"/>
    <w:rsid w:val="00EA6E49"/>
    <w:rsid w:val="00EF3987"/>
    <w:rsid w:val="00F47645"/>
    <w:rsid w:val="00F656EF"/>
    <w:rsid w:val="00F95187"/>
    <w:rsid w:val="00FF157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1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51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5135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5135B"/>
    <w:pPr>
      <w:spacing w:after="0" w:line="240" w:lineRule="auto"/>
    </w:pPr>
  </w:style>
  <w:style w:type="paragraph" w:styleId="StandardWeb">
    <w:name w:val="Normal (Web)"/>
    <w:basedOn w:val="Standard"/>
    <w:uiPriority w:val="99"/>
    <w:semiHidden/>
    <w:unhideWhenUsed/>
    <w:rsid w:val="00A513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135B"/>
    <w:rPr>
      <w:b/>
      <w:bCs/>
    </w:rPr>
  </w:style>
  <w:style w:type="character" w:customStyle="1" w:styleId="berschrift1Zchn">
    <w:name w:val="Überschrift 1 Zchn"/>
    <w:basedOn w:val="Absatz-Standardschriftart"/>
    <w:link w:val="berschrift1"/>
    <w:uiPriority w:val="9"/>
    <w:rsid w:val="00A5135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A5135B"/>
    <w:rPr>
      <w:rFonts w:asciiTheme="majorHAnsi" w:eastAsiaTheme="majorEastAsia" w:hAnsiTheme="majorHAnsi" w:cstheme="majorBidi"/>
      <w:b/>
      <w:bCs/>
      <w:color w:val="4F81BD" w:themeColor="accent1"/>
      <w:lang w:val="en-US"/>
    </w:rPr>
  </w:style>
  <w:style w:type="paragraph" w:styleId="Titel">
    <w:name w:val="Title"/>
    <w:basedOn w:val="Standard"/>
    <w:next w:val="Standard"/>
    <w:link w:val="TitelZchn"/>
    <w:uiPriority w:val="10"/>
    <w:qFormat/>
    <w:rsid w:val="00A513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Zchn">
    <w:name w:val="Titel Zchn"/>
    <w:basedOn w:val="Absatz-Standardschriftart"/>
    <w:link w:val="Titel"/>
    <w:uiPriority w:val="10"/>
    <w:rsid w:val="00A5135B"/>
    <w:rPr>
      <w:rFonts w:asciiTheme="majorHAnsi" w:eastAsiaTheme="majorEastAsia" w:hAnsiTheme="majorHAnsi" w:cstheme="majorBidi"/>
      <w:color w:val="17365D" w:themeColor="text2" w:themeShade="BF"/>
      <w:spacing w:val="5"/>
      <w:kern w:val="28"/>
      <w:sz w:val="52"/>
      <w:szCs w:val="52"/>
      <w:lang w:val="en-US"/>
    </w:rPr>
  </w:style>
  <w:style w:type="paragraph" w:styleId="Funotentext">
    <w:name w:val="footnote text"/>
    <w:basedOn w:val="Standard"/>
    <w:link w:val="FunotentextZchn"/>
    <w:uiPriority w:val="99"/>
    <w:semiHidden/>
    <w:unhideWhenUsed/>
    <w:rsid w:val="00A5135B"/>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sid w:val="00A5135B"/>
    <w:rPr>
      <w:sz w:val="20"/>
      <w:szCs w:val="20"/>
      <w:lang w:val="en-US"/>
    </w:rPr>
  </w:style>
  <w:style w:type="character" w:styleId="Funotenzeichen">
    <w:name w:val="footnote reference"/>
    <w:basedOn w:val="Absatz-Standardschriftart"/>
    <w:uiPriority w:val="99"/>
    <w:semiHidden/>
    <w:unhideWhenUsed/>
    <w:rsid w:val="00A5135B"/>
    <w:rPr>
      <w:vertAlign w:val="superscript"/>
    </w:rPr>
  </w:style>
  <w:style w:type="character" w:styleId="Hyperlink">
    <w:name w:val="Hyperlink"/>
    <w:basedOn w:val="Absatz-Standardschriftart"/>
    <w:uiPriority w:val="99"/>
    <w:unhideWhenUsed/>
    <w:rsid w:val="00A5135B"/>
    <w:rPr>
      <w:color w:val="0000FF" w:themeColor="hyperlink"/>
      <w:u w:val="single"/>
    </w:rPr>
  </w:style>
  <w:style w:type="paragraph" w:styleId="Listenabsatz">
    <w:name w:val="List Paragraph"/>
    <w:basedOn w:val="Standard"/>
    <w:uiPriority w:val="34"/>
    <w:qFormat/>
    <w:rsid w:val="00A5135B"/>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ParaAttribute1">
    <w:name w:val="ParaAttribute1"/>
    <w:rsid w:val="00A5135B"/>
    <w:pPr>
      <w:widowControl w:val="0"/>
      <w:spacing w:after="0" w:line="240" w:lineRule="auto"/>
      <w:jc w:val="both"/>
    </w:pPr>
    <w:rPr>
      <w:rFonts w:ascii="Times New Roman" w:eastAsia="Batang" w:hAnsi="Times New Roman" w:cs="Times New Roman"/>
      <w:sz w:val="20"/>
      <w:szCs w:val="20"/>
      <w:lang w:val="en-GB" w:eastAsia="en-GB"/>
    </w:rPr>
  </w:style>
  <w:style w:type="character" w:customStyle="1" w:styleId="CharAttribute8">
    <w:name w:val="CharAttribute8"/>
    <w:rsid w:val="00A5135B"/>
    <w:rPr>
      <w:rFonts w:ascii="Times New Roman" w:eastAsia="Times New Roman"/>
      <w:sz w:val="24"/>
    </w:rPr>
  </w:style>
  <w:style w:type="character" w:customStyle="1" w:styleId="CharAttribute10">
    <w:name w:val="CharAttribute10"/>
    <w:rsid w:val="00A5135B"/>
    <w:rPr>
      <w:rFonts w:ascii="Times New Roman" w:eastAsia="Times New Roman"/>
      <w:sz w:val="24"/>
    </w:rPr>
  </w:style>
  <w:style w:type="paragraph" w:styleId="Sprechblasentext">
    <w:name w:val="Balloon Text"/>
    <w:basedOn w:val="Standard"/>
    <w:link w:val="SprechblasentextZchn"/>
    <w:uiPriority w:val="99"/>
    <w:semiHidden/>
    <w:unhideWhenUsed/>
    <w:rsid w:val="00A513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35B"/>
    <w:rPr>
      <w:rFonts w:ascii="Tahoma" w:hAnsi="Tahoma" w:cs="Tahoma"/>
      <w:sz w:val="16"/>
      <w:szCs w:val="16"/>
    </w:rPr>
  </w:style>
  <w:style w:type="character" w:customStyle="1" w:styleId="berschrift2Zchn">
    <w:name w:val="Überschrift 2 Zchn"/>
    <w:basedOn w:val="Absatz-Standardschriftart"/>
    <w:link w:val="berschrift2"/>
    <w:uiPriority w:val="9"/>
    <w:rsid w:val="00A5135B"/>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E5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D20B4"/>
    <w:rPr>
      <w:sz w:val="18"/>
      <w:szCs w:val="18"/>
    </w:rPr>
  </w:style>
  <w:style w:type="paragraph" w:styleId="Kommentartext">
    <w:name w:val="annotation text"/>
    <w:basedOn w:val="Standard"/>
    <w:link w:val="KommentartextZchn"/>
    <w:uiPriority w:val="99"/>
    <w:semiHidden/>
    <w:unhideWhenUsed/>
    <w:rsid w:val="001D20B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D20B4"/>
    <w:rPr>
      <w:sz w:val="24"/>
      <w:szCs w:val="24"/>
    </w:rPr>
  </w:style>
  <w:style w:type="paragraph" w:styleId="Kommentarthema">
    <w:name w:val="annotation subject"/>
    <w:basedOn w:val="Kommentartext"/>
    <w:next w:val="Kommentartext"/>
    <w:link w:val="KommentarthemaZchn"/>
    <w:uiPriority w:val="99"/>
    <w:semiHidden/>
    <w:unhideWhenUsed/>
    <w:rsid w:val="001D20B4"/>
    <w:rPr>
      <w:b/>
      <w:bCs/>
      <w:sz w:val="20"/>
      <w:szCs w:val="20"/>
    </w:rPr>
  </w:style>
  <w:style w:type="character" w:customStyle="1" w:styleId="KommentarthemaZchn">
    <w:name w:val="Kommentarthema Zchn"/>
    <w:basedOn w:val="KommentartextZchn"/>
    <w:link w:val="Kommentarthema"/>
    <w:uiPriority w:val="99"/>
    <w:semiHidden/>
    <w:rsid w:val="001D20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1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51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5135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5135B"/>
    <w:pPr>
      <w:spacing w:after="0" w:line="240" w:lineRule="auto"/>
    </w:pPr>
  </w:style>
  <w:style w:type="paragraph" w:styleId="StandardWeb">
    <w:name w:val="Normal (Web)"/>
    <w:basedOn w:val="Standard"/>
    <w:uiPriority w:val="99"/>
    <w:semiHidden/>
    <w:unhideWhenUsed/>
    <w:rsid w:val="00A513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135B"/>
    <w:rPr>
      <w:b/>
      <w:bCs/>
    </w:rPr>
  </w:style>
  <w:style w:type="character" w:customStyle="1" w:styleId="berschrift1Zchn">
    <w:name w:val="Überschrift 1 Zchn"/>
    <w:basedOn w:val="Absatz-Standardschriftart"/>
    <w:link w:val="berschrift1"/>
    <w:uiPriority w:val="9"/>
    <w:rsid w:val="00A5135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A5135B"/>
    <w:rPr>
      <w:rFonts w:asciiTheme="majorHAnsi" w:eastAsiaTheme="majorEastAsia" w:hAnsiTheme="majorHAnsi" w:cstheme="majorBidi"/>
      <w:b/>
      <w:bCs/>
      <w:color w:val="4F81BD" w:themeColor="accent1"/>
      <w:lang w:val="en-US"/>
    </w:rPr>
  </w:style>
  <w:style w:type="paragraph" w:styleId="Titel">
    <w:name w:val="Title"/>
    <w:basedOn w:val="Standard"/>
    <w:next w:val="Standard"/>
    <w:link w:val="TitelZchn"/>
    <w:uiPriority w:val="10"/>
    <w:qFormat/>
    <w:rsid w:val="00A513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Zchn">
    <w:name w:val="Titel Zchn"/>
    <w:basedOn w:val="Absatz-Standardschriftart"/>
    <w:link w:val="Titel"/>
    <w:uiPriority w:val="10"/>
    <w:rsid w:val="00A5135B"/>
    <w:rPr>
      <w:rFonts w:asciiTheme="majorHAnsi" w:eastAsiaTheme="majorEastAsia" w:hAnsiTheme="majorHAnsi" w:cstheme="majorBidi"/>
      <w:color w:val="17365D" w:themeColor="text2" w:themeShade="BF"/>
      <w:spacing w:val="5"/>
      <w:kern w:val="28"/>
      <w:sz w:val="52"/>
      <w:szCs w:val="52"/>
      <w:lang w:val="en-US"/>
    </w:rPr>
  </w:style>
  <w:style w:type="paragraph" w:styleId="Funotentext">
    <w:name w:val="footnote text"/>
    <w:basedOn w:val="Standard"/>
    <w:link w:val="FunotentextZchn"/>
    <w:uiPriority w:val="99"/>
    <w:semiHidden/>
    <w:unhideWhenUsed/>
    <w:rsid w:val="00A5135B"/>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sid w:val="00A5135B"/>
    <w:rPr>
      <w:sz w:val="20"/>
      <w:szCs w:val="20"/>
      <w:lang w:val="en-US"/>
    </w:rPr>
  </w:style>
  <w:style w:type="character" w:styleId="Funotenzeichen">
    <w:name w:val="footnote reference"/>
    <w:basedOn w:val="Absatz-Standardschriftart"/>
    <w:uiPriority w:val="99"/>
    <w:semiHidden/>
    <w:unhideWhenUsed/>
    <w:rsid w:val="00A5135B"/>
    <w:rPr>
      <w:vertAlign w:val="superscript"/>
    </w:rPr>
  </w:style>
  <w:style w:type="character" w:styleId="Hyperlink">
    <w:name w:val="Hyperlink"/>
    <w:basedOn w:val="Absatz-Standardschriftart"/>
    <w:uiPriority w:val="99"/>
    <w:unhideWhenUsed/>
    <w:rsid w:val="00A5135B"/>
    <w:rPr>
      <w:color w:val="0000FF" w:themeColor="hyperlink"/>
      <w:u w:val="single"/>
    </w:rPr>
  </w:style>
  <w:style w:type="paragraph" w:styleId="Listenabsatz">
    <w:name w:val="List Paragraph"/>
    <w:basedOn w:val="Standard"/>
    <w:uiPriority w:val="34"/>
    <w:qFormat/>
    <w:rsid w:val="00A5135B"/>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ParaAttribute1">
    <w:name w:val="ParaAttribute1"/>
    <w:rsid w:val="00A5135B"/>
    <w:pPr>
      <w:widowControl w:val="0"/>
      <w:spacing w:after="0" w:line="240" w:lineRule="auto"/>
      <w:jc w:val="both"/>
    </w:pPr>
    <w:rPr>
      <w:rFonts w:ascii="Times New Roman" w:eastAsia="Batang" w:hAnsi="Times New Roman" w:cs="Times New Roman"/>
      <w:sz w:val="20"/>
      <w:szCs w:val="20"/>
      <w:lang w:val="en-GB" w:eastAsia="en-GB"/>
    </w:rPr>
  </w:style>
  <w:style w:type="character" w:customStyle="1" w:styleId="CharAttribute8">
    <w:name w:val="CharAttribute8"/>
    <w:rsid w:val="00A5135B"/>
    <w:rPr>
      <w:rFonts w:ascii="Times New Roman" w:eastAsia="Times New Roman"/>
      <w:sz w:val="24"/>
    </w:rPr>
  </w:style>
  <w:style w:type="character" w:customStyle="1" w:styleId="CharAttribute10">
    <w:name w:val="CharAttribute10"/>
    <w:rsid w:val="00A5135B"/>
    <w:rPr>
      <w:rFonts w:ascii="Times New Roman" w:eastAsia="Times New Roman"/>
      <w:sz w:val="24"/>
    </w:rPr>
  </w:style>
  <w:style w:type="paragraph" w:styleId="Sprechblasentext">
    <w:name w:val="Balloon Text"/>
    <w:basedOn w:val="Standard"/>
    <w:link w:val="SprechblasentextZchn"/>
    <w:uiPriority w:val="99"/>
    <w:semiHidden/>
    <w:unhideWhenUsed/>
    <w:rsid w:val="00A513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35B"/>
    <w:rPr>
      <w:rFonts w:ascii="Tahoma" w:hAnsi="Tahoma" w:cs="Tahoma"/>
      <w:sz w:val="16"/>
      <w:szCs w:val="16"/>
    </w:rPr>
  </w:style>
  <w:style w:type="character" w:customStyle="1" w:styleId="berschrift2Zchn">
    <w:name w:val="Überschrift 2 Zchn"/>
    <w:basedOn w:val="Absatz-Standardschriftart"/>
    <w:link w:val="berschrift2"/>
    <w:uiPriority w:val="9"/>
    <w:rsid w:val="00A5135B"/>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E5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D20B4"/>
    <w:rPr>
      <w:sz w:val="18"/>
      <w:szCs w:val="18"/>
    </w:rPr>
  </w:style>
  <w:style w:type="paragraph" w:styleId="Kommentartext">
    <w:name w:val="annotation text"/>
    <w:basedOn w:val="Standard"/>
    <w:link w:val="KommentartextZchn"/>
    <w:uiPriority w:val="99"/>
    <w:semiHidden/>
    <w:unhideWhenUsed/>
    <w:rsid w:val="001D20B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D20B4"/>
    <w:rPr>
      <w:sz w:val="24"/>
      <w:szCs w:val="24"/>
    </w:rPr>
  </w:style>
  <w:style w:type="paragraph" w:styleId="Kommentarthema">
    <w:name w:val="annotation subject"/>
    <w:basedOn w:val="Kommentartext"/>
    <w:next w:val="Kommentartext"/>
    <w:link w:val="KommentarthemaZchn"/>
    <w:uiPriority w:val="99"/>
    <w:semiHidden/>
    <w:unhideWhenUsed/>
    <w:rsid w:val="001D20B4"/>
    <w:rPr>
      <w:b/>
      <w:bCs/>
      <w:sz w:val="20"/>
      <w:szCs w:val="20"/>
    </w:rPr>
  </w:style>
  <w:style w:type="character" w:customStyle="1" w:styleId="KommentarthemaZchn">
    <w:name w:val="Kommentarthema Zchn"/>
    <w:basedOn w:val="KommentartextZchn"/>
    <w:link w:val="Kommentarthema"/>
    <w:uiPriority w:val="99"/>
    <w:semiHidden/>
    <w:rsid w:val="001D2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ce11.org/group/fairgroup/fairprincipl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dl.handle.net/11304/1aab3df4-f3ce-11e4-ac7e-860aa0063d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d-alliance.org/data-harvest-report-sharing-data-knowledge-jobs-and-growth.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osteropenscience.eu/content/riding-wave-how-europe-can-gain-rising-tide-scientific-data" TargetMode="External"/><Relationship Id="rId4" Type="http://schemas.microsoft.com/office/2007/relationships/stylesWithEffects" Target="stylesWithEffects.xml"/><Relationship Id="rId9" Type="http://schemas.openxmlformats.org/officeDocument/2006/relationships/hyperlink" Target="http://hdl.handle.net/11304/6e1424cc-8927-11e4-ac7e-860aa0063d1f"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larin.eu/content/comparison-pid-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77C1-8238-4A91-BFF8-2F96A673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2668</Words>
  <Characters>16812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6</cp:revision>
  <cp:lastPrinted>2016-01-09T12:54:00Z</cp:lastPrinted>
  <dcterms:created xsi:type="dcterms:W3CDTF">2016-02-07T06:36:00Z</dcterms:created>
  <dcterms:modified xsi:type="dcterms:W3CDTF">2016-02-16T20:07:00Z</dcterms:modified>
</cp:coreProperties>
</file>