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8B" w:rsidRDefault="003D088B" w:rsidP="005000A3">
      <w:pPr>
        <w:pStyle w:val="Titre1"/>
        <w:rPr>
          <w:lang w:val="en-US"/>
        </w:rPr>
      </w:pPr>
      <w:r>
        <w:rPr>
          <w:lang w:val="en-US"/>
        </w:rPr>
        <w:t>Introduction</w:t>
      </w:r>
    </w:p>
    <w:p w:rsidR="007343B9" w:rsidRDefault="00080E54" w:rsidP="00EA6B75">
      <w:pPr>
        <w:jc w:val="both"/>
        <w:rPr>
          <w:lang w:val="en-US"/>
        </w:rPr>
      </w:pPr>
      <w:r w:rsidRPr="00080E54">
        <w:rPr>
          <w:lang w:val="en-US"/>
        </w:rPr>
        <w:t>Wheat is a major source of calories and</w:t>
      </w:r>
      <w:r>
        <w:rPr>
          <w:lang w:val="en-US"/>
        </w:rPr>
        <w:t xml:space="preserve"> </w:t>
      </w:r>
      <w:r w:rsidRPr="00080E54">
        <w:rPr>
          <w:lang w:val="en-US"/>
        </w:rPr>
        <w:t>protein</w:t>
      </w:r>
      <w:r>
        <w:rPr>
          <w:lang w:val="en-US"/>
        </w:rPr>
        <w:t>, especially</w:t>
      </w:r>
      <w:r w:rsidRPr="00080E54">
        <w:rPr>
          <w:lang w:val="en-US"/>
        </w:rPr>
        <w:t xml:space="preserve"> for consumers in developing</w:t>
      </w:r>
      <w:r>
        <w:rPr>
          <w:lang w:val="en-US"/>
        </w:rPr>
        <w:t xml:space="preserve"> countries</w:t>
      </w:r>
      <w:r w:rsidR="00391C2F">
        <w:rPr>
          <w:rStyle w:val="Appelnotedebasdep"/>
          <w:lang w:val="en-US"/>
        </w:rPr>
        <w:footnoteReference w:id="1"/>
      </w:r>
      <w:r>
        <w:rPr>
          <w:lang w:val="en-US"/>
        </w:rPr>
        <w:t xml:space="preserve"> </w:t>
      </w:r>
      <w:r w:rsidR="00381449" w:rsidRPr="00381449">
        <w:rPr>
          <w:lang w:val="en-US"/>
        </w:rPr>
        <w:t>and</w:t>
      </w:r>
      <w:r w:rsidR="00381449">
        <w:rPr>
          <w:lang w:val="en-US"/>
        </w:rPr>
        <w:t xml:space="preserve"> </w:t>
      </w:r>
      <w:r w:rsidR="001D2FD9">
        <w:rPr>
          <w:lang w:val="en-US"/>
        </w:rPr>
        <w:t xml:space="preserve">thus plays an important socio-economical role in the today’s world. </w:t>
      </w:r>
      <w:r w:rsidR="001B3D92">
        <w:rPr>
          <w:lang w:val="en-US"/>
        </w:rPr>
        <w:t>T</w:t>
      </w:r>
      <w:r w:rsidR="00576C6D">
        <w:rPr>
          <w:lang w:val="en-US"/>
        </w:rPr>
        <w:t xml:space="preserve">he </w:t>
      </w:r>
      <w:r w:rsidR="001B3D92">
        <w:rPr>
          <w:lang w:val="en-US"/>
        </w:rPr>
        <w:t xml:space="preserve">growing number of </w:t>
      </w:r>
      <w:r w:rsidR="00576C6D">
        <w:rPr>
          <w:lang w:val="en-US"/>
        </w:rPr>
        <w:t>numerical techniques offer</w:t>
      </w:r>
      <w:r w:rsidR="00707950">
        <w:rPr>
          <w:lang w:val="en-US"/>
        </w:rPr>
        <w:t>s</w:t>
      </w:r>
      <w:r w:rsidR="00576C6D">
        <w:rPr>
          <w:lang w:val="en-US"/>
        </w:rPr>
        <w:t xml:space="preserve"> unique opportunities to researchers </w:t>
      </w:r>
      <w:r w:rsidR="001B3D92">
        <w:rPr>
          <w:lang w:val="en-US"/>
        </w:rPr>
        <w:t xml:space="preserve">to </w:t>
      </w:r>
      <w:r w:rsidR="00707950">
        <w:rPr>
          <w:lang w:val="en-US"/>
        </w:rPr>
        <w:t>discover, access</w:t>
      </w:r>
      <w:r w:rsidR="00707950" w:rsidRPr="00F36233">
        <w:rPr>
          <w:lang w:val="en-US"/>
        </w:rPr>
        <w:t>, and reuse data</w:t>
      </w:r>
      <w:r w:rsidR="00707950">
        <w:rPr>
          <w:lang w:val="en-US"/>
        </w:rPr>
        <w:t xml:space="preserve"> </w:t>
      </w:r>
      <w:r w:rsidR="00707950" w:rsidRPr="00306C28">
        <w:rPr>
          <w:lang w:val="en-US"/>
        </w:rPr>
        <w:t>outside the original context in which these data are collected</w:t>
      </w:r>
      <w:r w:rsidR="00707950">
        <w:rPr>
          <w:lang w:val="en-US"/>
        </w:rPr>
        <w:t>, in order to enable new analysis and discoveries.</w:t>
      </w:r>
      <w:r w:rsidR="001B3D92">
        <w:rPr>
          <w:lang w:val="en-US"/>
        </w:rPr>
        <w:t xml:space="preserve"> However, </w:t>
      </w:r>
      <w:r w:rsidR="001B3D92" w:rsidRPr="001B3D92">
        <w:rPr>
          <w:lang w:val="en-US"/>
        </w:rPr>
        <w:t>th</w:t>
      </w:r>
      <w:r w:rsidR="001B3D92">
        <w:rPr>
          <w:lang w:val="en-US"/>
        </w:rPr>
        <w:t>e disparate nature of the</w:t>
      </w:r>
      <w:r w:rsidR="001B3D92" w:rsidRPr="001B3D92">
        <w:rPr>
          <w:lang w:val="en-US"/>
        </w:rPr>
        <w:t xml:space="preserve"> formats and</w:t>
      </w:r>
      <w:r w:rsidR="001B3D92">
        <w:rPr>
          <w:lang w:val="en-US"/>
        </w:rPr>
        <w:t xml:space="preserve"> vocabularies used to represent and describe the </w:t>
      </w:r>
      <w:r w:rsidR="00FC6801">
        <w:rPr>
          <w:lang w:val="en-US"/>
        </w:rPr>
        <w:t xml:space="preserve">data </w:t>
      </w:r>
      <w:r w:rsidR="001B3D92" w:rsidRPr="001B3D92">
        <w:rPr>
          <w:lang w:val="en-US"/>
        </w:rPr>
        <w:t>has resulted in a lack of interoperab</w:t>
      </w:r>
      <w:r w:rsidR="00FC6801">
        <w:rPr>
          <w:lang w:val="en-US"/>
        </w:rPr>
        <w:t>ility.</w:t>
      </w:r>
      <w:r w:rsidR="00F16042">
        <w:rPr>
          <w:lang w:val="en-US"/>
        </w:rPr>
        <w:t xml:space="preserve"> </w:t>
      </w:r>
    </w:p>
    <w:p w:rsidR="00707950" w:rsidRDefault="00D31BD3" w:rsidP="00EA6B75">
      <w:pPr>
        <w:jc w:val="both"/>
        <w:rPr>
          <w:lang w:val="en-US"/>
        </w:rPr>
      </w:pPr>
      <w:r>
        <w:rPr>
          <w:lang w:val="en-US"/>
        </w:rPr>
        <w:t xml:space="preserve">The Wheat Data Interoperability working group has been created within the frame of the Research Data Alliance </w:t>
      </w:r>
      <w:r w:rsidR="007343B9">
        <w:rPr>
          <w:lang w:val="en-US"/>
        </w:rPr>
        <w:t>(</w:t>
      </w:r>
      <w:hyperlink r:id="rId9" w:history="1">
        <w:r w:rsidR="007343B9" w:rsidRPr="00F957A6">
          <w:rPr>
            <w:rStyle w:val="Lienhypertexte"/>
            <w:lang w:val="en-US"/>
          </w:rPr>
          <w:t>https://rd-alliance.org</w:t>
        </w:r>
      </w:hyperlink>
      <w:r w:rsidR="007343B9">
        <w:rPr>
          <w:lang w:val="en-US"/>
        </w:rPr>
        <w:t xml:space="preserve">) </w:t>
      </w:r>
      <w:r>
        <w:rPr>
          <w:lang w:val="en-US"/>
        </w:rPr>
        <w:t>and under the umbrella of the International Wheat Initiative</w:t>
      </w:r>
      <w:r w:rsidR="007343B9">
        <w:rPr>
          <w:lang w:val="en-US"/>
        </w:rPr>
        <w:t xml:space="preserve"> (</w:t>
      </w:r>
      <w:hyperlink r:id="rId10" w:history="1">
        <w:r w:rsidR="007343B9" w:rsidRPr="00F957A6">
          <w:rPr>
            <w:rStyle w:val="Lienhypertexte"/>
            <w:lang w:val="en-US"/>
          </w:rPr>
          <w:t>http://www.wheatinitiative.org/</w:t>
        </w:r>
      </w:hyperlink>
      <w:r w:rsidR="007343B9">
        <w:rPr>
          <w:lang w:val="en-US"/>
        </w:rPr>
        <w:t>)</w:t>
      </w:r>
      <w:r>
        <w:rPr>
          <w:lang w:val="en-US"/>
        </w:rPr>
        <w:t xml:space="preserve">, in order </w:t>
      </w:r>
      <w:r w:rsidRPr="00D31BD3">
        <w:rPr>
          <w:lang w:val="en-US"/>
        </w:rPr>
        <w:t xml:space="preserve">to provide a common framework for describing, </w:t>
      </w:r>
      <w:r w:rsidR="001B1787">
        <w:rPr>
          <w:lang w:val="en-US"/>
        </w:rPr>
        <w:t xml:space="preserve">and </w:t>
      </w:r>
      <w:r w:rsidR="002B098B" w:rsidRPr="00D31BD3">
        <w:rPr>
          <w:lang w:val="en-US"/>
        </w:rPr>
        <w:t>representing</w:t>
      </w:r>
      <w:r w:rsidR="002B098B">
        <w:rPr>
          <w:lang w:val="en-US"/>
        </w:rPr>
        <w:t xml:space="preserve"> </w:t>
      </w:r>
      <w:r w:rsidR="002B098B" w:rsidRPr="00D31BD3">
        <w:rPr>
          <w:lang w:val="en-US"/>
        </w:rPr>
        <w:t>wheat</w:t>
      </w:r>
      <w:r w:rsidRPr="00D31BD3">
        <w:rPr>
          <w:lang w:val="en-US"/>
        </w:rPr>
        <w:t xml:space="preserve"> data with respect to </w:t>
      </w:r>
      <w:r w:rsidR="001B1787">
        <w:rPr>
          <w:lang w:val="en-US"/>
        </w:rPr>
        <w:t xml:space="preserve">existing </w:t>
      </w:r>
      <w:r w:rsidRPr="00D31BD3">
        <w:rPr>
          <w:lang w:val="en-US"/>
        </w:rPr>
        <w:t xml:space="preserve">open standards. </w:t>
      </w:r>
      <w:r w:rsidR="00F16042">
        <w:rPr>
          <w:lang w:val="en-US"/>
        </w:rPr>
        <w:t>While i</w:t>
      </w:r>
      <w:r w:rsidR="00F16042" w:rsidRPr="00F16042">
        <w:rPr>
          <w:lang w:val="en-US"/>
        </w:rPr>
        <w:t xml:space="preserve">nteroperability is a wide concept </w:t>
      </w:r>
      <w:r w:rsidR="00F16042">
        <w:rPr>
          <w:lang w:val="en-US"/>
        </w:rPr>
        <w:t xml:space="preserve">this paper will use </w:t>
      </w:r>
      <w:r w:rsidR="00F16042" w:rsidRPr="00F16042">
        <w:rPr>
          <w:lang w:val="en-US"/>
        </w:rPr>
        <w:t>the following definition from the E</w:t>
      </w:r>
      <w:r w:rsidR="00170B31">
        <w:rPr>
          <w:lang w:val="en-US"/>
        </w:rPr>
        <w:t xml:space="preserve">uropean </w:t>
      </w:r>
      <w:r w:rsidR="00F16042" w:rsidRPr="00F16042">
        <w:rPr>
          <w:lang w:val="en-US"/>
        </w:rPr>
        <w:t>I</w:t>
      </w:r>
      <w:r w:rsidR="00170B31">
        <w:rPr>
          <w:lang w:val="en-US"/>
        </w:rPr>
        <w:t xml:space="preserve">nteroperability </w:t>
      </w:r>
      <w:r w:rsidR="00F16042" w:rsidRPr="00F16042">
        <w:rPr>
          <w:lang w:val="en-US"/>
        </w:rPr>
        <w:t>F</w:t>
      </w:r>
      <w:r w:rsidR="00170B31">
        <w:rPr>
          <w:lang w:val="en-US"/>
        </w:rPr>
        <w:t>ramework</w:t>
      </w:r>
      <w:r w:rsidR="00FB23C0">
        <w:rPr>
          <w:rStyle w:val="Appelnotedebasdep"/>
          <w:lang w:val="en-US"/>
        </w:rPr>
        <w:footnoteReference w:id="2"/>
      </w:r>
      <w:r w:rsidR="00F16042" w:rsidRPr="00F16042">
        <w:rPr>
          <w:lang w:val="en-US"/>
        </w:rPr>
        <w:t>:  ‘An interoperability framework is an agreed approach</w:t>
      </w:r>
      <w:r w:rsidR="00F16042">
        <w:rPr>
          <w:lang w:val="en-US"/>
        </w:rPr>
        <w:t xml:space="preserve"> to interoperability for organiz</w:t>
      </w:r>
      <w:r w:rsidR="00F16042" w:rsidRPr="00F16042">
        <w:rPr>
          <w:lang w:val="en-US"/>
        </w:rPr>
        <w:t>ations that wish to work together towards the joint delivery of public services. Within its scope of applicability, it specifies a set of common elements such as vocabulary, concepts, principles, policies, guidelines, recommendations, standards, specifications and practices.’</w:t>
      </w:r>
      <w:r w:rsidR="00707950">
        <w:rPr>
          <w:lang w:val="en-US"/>
        </w:rPr>
        <w:t xml:space="preserve"> </w:t>
      </w:r>
    </w:p>
    <w:p w:rsidR="00756ABE" w:rsidRDefault="00756ABE" w:rsidP="00EA6B75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707950">
        <w:rPr>
          <w:lang w:val="en-US"/>
        </w:rPr>
        <w:t xml:space="preserve">framework proposed by the working group consists in </w:t>
      </w:r>
      <w:r>
        <w:rPr>
          <w:lang w:val="en-US"/>
        </w:rPr>
        <w:t xml:space="preserve">guidelines </w:t>
      </w:r>
      <w:r w:rsidR="00707950">
        <w:rPr>
          <w:lang w:val="en-US"/>
        </w:rPr>
        <w:t xml:space="preserve">and tools which </w:t>
      </w:r>
      <w:r>
        <w:rPr>
          <w:lang w:val="en-US"/>
        </w:rPr>
        <w:t xml:space="preserve">aim to promote the </w:t>
      </w:r>
      <w:r w:rsidRPr="00756ABE">
        <w:rPr>
          <w:lang w:val="en-US"/>
        </w:rPr>
        <w:t>adoption of common standards, vocab</w:t>
      </w:r>
      <w:r w:rsidR="00707950">
        <w:rPr>
          <w:lang w:val="en-US"/>
        </w:rPr>
        <w:t>ularies and best practices for w</w:t>
      </w:r>
      <w:r w:rsidRPr="00756ABE">
        <w:rPr>
          <w:lang w:val="en-US"/>
        </w:rPr>
        <w:t>heat data management</w:t>
      </w:r>
      <w:r w:rsidR="00F36233">
        <w:rPr>
          <w:lang w:val="en-US"/>
        </w:rPr>
        <w:t xml:space="preserve">. </w:t>
      </w:r>
      <w:r w:rsidR="001B1787">
        <w:rPr>
          <w:lang w:val="en-US"/>
        </w:rPr>
        <w:t>It focuses on 6 data types (sequence variations, genome annotations, phenotypes, physical maps, germplasm and gene expression), based on a survey report</w:t>
      </w:r>
      <w:r w:rsidR="001B1787">
        <w:rPr>
          <w:rStyle w:val="Appelnotedebasdep"/>
          <w:lang w:val="en-US"/>
        </w:rPr>
        <w:footnoteReference w:id="3"/>
      </w:r>
      <w:r w:rsidR="001B1787" w:rsidRPr="001B1787">
        <w:rPr>
          <w:lang w:val="en-US"/>
        </w:rPr>
        <w:t xml:space="preserve"> performed in June 2012</w:t>
      </w:r>
      <w:r w:rsidR="001B1787">
        <w:rPr>
          <w:lang w:val="en-US"/>
        </w:rPr>
        <w:t xml:space="preserve"> by the International Wheat Initiative.</w:t>
      </w:r>
    </w:p>
    <w:p w:rsidR="00F36233" w:rsidRDefault="00F36233" w:rsidP="00EA6B75">
      <w:pPr>
        <w:jc w:val="both"/>
        <w:rPr>
          <w:lang w:val="en-US"/>
        </w:rPr>
      </w:pPr>
      <w:r>
        <w:rPr>
          <w:lang w:val="en-US"/>
        </w:rPr>
        <w:t>The rest of the paper is organized as follows: section 2 presents th</w:t>
      </w:r>
      <w:r w:rsidR="0055064E">
        <w:rPr>
          <w:lang w:val="en-US"/>
        </w:rPr>
        <w:t xml:space="preserve">e </w:t>
      </w:r>
      <w:r w:rsidR="001D7223">
        <w:rPr>
          <w:lang w:val="en-US"/>
        </w:rPr>
        <w:t>current state of practices in wheat data management</w:t>
      </w:r>
      <w:r w:rsidR="0055064E">
        <w:rPr>
          <w:lang w:val="en-US"/>
        </w:rPr>
        <w:t>. The recommendations are described in section 3.</w:t>
      </w:r>
      <w:r w:rsidR="002B098B">
        <w:rPr>
          <w:lang w:val="en-US"/>
        </w:rPr>
        <w:t xml:space="preserve"> </w:t>
      </w:r>
      <w:r w:rsidR="001D7223">
        <w:rPr>
          <w:lang w:val="en-US"/>
        </w:rPr>
        <w:t>Benefits, p</w:t>
      </w:r>
      <w:bookmarkStart w:id="0" w:name="_GoBack"/>
      <w:bookmarkEnd w:id="0"/>
      <w:r w:rsidR="0055064E">
        <w:rPr>
          <w:lang w:val="en-US"/>
        </w:rPr>
        <w:t>ossible future developments and concluding remarks are presented in section 4</w:t>
      </w:r>
    </w:p>
    <w:p w:rsidR="003D088B" w:rsidRDefault="003D088B" w:rsidP="00EA6B75">
      <w:pPr>
        <w:jc w:val="both"/>
        <w:rPr>
          <w:lang w:val="en-US"/>
        </w:rPr>
      </w:pPr>
    </w:p>
    <w:p w:rsidR="003D088B" w:rsidRDefault="00853B2B" w:rsidP="005000A3">
      <w:pPr>
        <w:pStyle w:val="Titre1"/>
        <w:rPr>
          <w:lang w:val="en-US"/>
        </w:rPr>
      </w:pPr>
      <w:r>
        <w:rPr>
          <w:lang w:val="en-US"/>
        </w:rPr>
        <w:t xml:space="preserve">Wheat data </w:t>
      </w:r>
      <w:r w:rsidR="002E704B">
        <w:rPr>
          <w:lang w:val="en-US"/>
        </w:rPr>
        <w:t>management:</w:t>
      </w:r>
      <w:r>
        <w:rPr>
          <w:lang w:val="en-US"/>
        </w:rPr>
        <w:t xml:space="preserve"> current state of practices </w:t>
      </w:r>
    </w:p>
    <w:p w:rsidR="003D088B" w:rsidRPr="002E704B" w:rsidRDefault="00DC650B" w:rsidP="005000A3">
      <w:pPr>
        <w:pStyle w:val="Titre2"/>
        <w:ind w:left="708"/>
        <w:rPr>
          <w:lang w:val="en-US"/>
        </w:rPr>
      </w:pPr>
      <w:r>
        <w:rPr>
          <w:lang w:val="en-US"/>
        </w:rPr>
        <w:t>W</w:t>
      </w:r>
      <w:r w:rsidR="003D088B" w:rsidRPr="002E704B">
        <w:rPr>
          <w:lang w:val="en-US"/>
        </w:rPr>
        <w:t>heat related data formats and metadata standards</w:t>
      </w:r>
      <w:r>
        <w:rPr>
          <w:lang w:val="en-US"/>
        </w:rPr>
        <w:t>: landscape and current state of practices</w:t>
      </w:r>
    </w:p>
    <w:p w:rsidR="003D088B" w:rsidRDefault="002E704B" w:rsidP="005000A3">
      <w:pPr>
        <w:pStyle w:val="Titre2"/>
        <w:ind w:left="708"/>
        <w:rPr>
          <w:lang w:val="en-US"/>
        </w:rPr>
      </w:pPr>
      <w:r w:rsidRPr="002E704B">
        <w:rPr>
          <w:lang w:val="en-US"/>
        </w:rPr>
        <w:t>The inventory of w</w:t>
      </w:r>
      <w:r w:rsidR="003D088B" w:rsidRPr="002E704B">
        <w:rPr>
          <w:lang w:val="en-US"/>
        </w:rPr>
        <w:t>heat related vocabulari</w:t>
      </w:r>
      <w:r w:rsidRPr="002E704B">
        <w:rPr>
          <w:lang w:val="en-US"/>
        </w:rPr>
        <w:t>es</w:t>
      </w:r>
    </w:p>
    <w:p w:rsidR="009969AB" w:rsidRPr="002E704B" w:rsidRDefault="009969AB" w:rsidP="005000A3">
      <w:pPr>
        <w:pStyle w:val="Titre2"/>
        <w:ind w:left="708"/>
        <w:rPr>
          <w:lang w:val="en-US"/>
        </w:rPr>
      </w:pPr>
      <w:r>
        <w:rPr>
          <w:lang w:val="en-US"/>
        </w:rPr>
        <w:t>Identifying wheat data interoperability use cases</w:t>
      </w:r>
    </w:p>
    <w:p w:rsidR="003D088B" w:rsidRPr="002E704B" w:rsidRDefault="002E704B" w:rsidP="005000A3">
      <w:pPr>
        <w:pStyle w:val="Titre2"/>
        <w:ind w:left="708"/>
        <w:rPr>
          <w:lang w:val="en-US"/>
        </w:rPr>
      </w:pPr>
      <w:r w:rsidRPr="002E704B">
        <w:rPr>
          <w:lang w:val="en-US"/>
        </w:rPr>
        <w:t>Criteria of the recommendations</w:t>
      </w:r>
    </w:p>
    <w:p w:rsidR="005000A3" w:rsidRDefault="005000A3" w:rsidP="00EA6B75">
      <w:pPr>
        <w:jc w:val="both"/>
        <w:rPr>
          <w:lang w:val="en-US"/>
        </w:rPr>
      </w:pPr>
    </w:p>
    <w:p w:rsidR="003D088B" w:rsidRDefault="0081710A" w:rsidP="005000A3">
      <w:pPr>
        <w:pStyle w:val="Titre1"/>
        <w:rPr>
          <w:lang w:val="en-US"/>
        </w:rPr>
      </w:pPr>
      <w:r>
        <w:rPr>
          <w:lang w:val="en-US"/>
        </w:rPr>
        <w:lastRenderedPageBreak/>
        <w:t>The wheat data interoperability guidelines</w:t>
      </w:r>
    </w:p>
    <w:p w:rsidR="0081710A" w:rsidRDefault="0081710A" w:rsidP="005000A3">
      <w:pPr>
        <w:pStyle w:val="Titre2"/>
        <w:ind w:left="708"/>
        <w:rPr>
          <w:lang w:val="en-US"/>
        </w:rPr>
      </w:pPr>
      <w:r>
        <w:rPr>
          <w:lang w:val="en-US"/>
        </w:rPr>
        <w:t>The wheat data exchange formats guidelines</w:t>
      </w:r>
    </w:p>
    <w:p w:rsidR="0081710A" w:rsidRDefault="0081710A" w:rsidP="005000A3">
      <w:pPr>
        <w:pStyle w:val="Titre2"/>
        <w:ind w:left="708"/>
        <w:rPr>
          <w:lang w:val="en-US"/>
        </w:rPr>
      </w:pPr>
      <w:r>
        <w:rPr>
          <w:lang w:val="en-US"/>
        </w:rPr>
        <w:t>The wheat data description and annotation guidelines</w:t>
      </w:r>
    </w:p>
    <w:p w:rsidR="0081710A" w:rsidRDefault="0081710A" w:rsidP="005000A3">
      <w:pPr>
        <w:pStyle w:val="Titre2"/>
        <w:ind w:left="708"/>
        <w:rPr>
          <w:lang w:val="en-US"/>
        </w:rPr>
      </w:pPr>
      <w:r>
        <w:rPr>
          <w:lang w:val="en-US"/>
        </w:rPr>
        <w:t>The wheat related vocabularies repository</w:t>
      </w:r>
    </w:p>
    <w:p w:rsidR="0081710A" w:rsidRDefault="0081710A" w:rsidP="00EA6B75">
      <w:pPr>
        <w:jc w:val="both"/>
        <w:rPr>
          <w:lang w:val="en-US"/>
        </w:rPr>
      </w:pPr>
    </w:p>
    <w:p w:rsidR="003D088B" w:rsidRDefault="0081710A" w:rsidP="005000A3">
      <w:pPr>
        <w:pStyle w:val="Titre1"/>
        <w:rPr>
          <w:lang w:val="en-US"/>
        </w:rPr>
      </w:pPr>
      <w:r>
        <w:rPr>
          <w:lang w:val="en-US"/>
        </w:rPr>
        <w:t>Benefits and future direction</w:t>
      </w:r>
    </w:p>
    <w:p w:rsidR="005000A3" w:rsidRDefault="005000A3" w:rsidP="005000A3">
      <w:pPr>
        <w:rPr>
          <w:lang w:val="en-US"/>
        </w:rPr>
      </w:pPr>
    </w:p>
    <w:p w:rsidR="0081710A" w:rsidRDefault="0081710A" w:rsidP="00EA6B75">
      <w:pPr>
        <w:jc w:val="both"/>
        <w:rPr>
          <w:lang w:val="en-US"/>
        </w:rPr>
      </w:pPr>
    </w:p>
    <w:p w:rsidR="003D088B" w:rsidRPr="00756ABE" w:rsidRDefault="003D088B" w:rsidP="00EA6B75">
      <w:pPr>
        <w:jc w:val="both"/>
        <w:rPr>
          <w:lang w:val="en-US"/>
        </w:rPr>
      </w:pPr>
    </w:p>
    <w:sectPr w:rsidR="003D088B" w:rsidRPr="0075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4E" w:rsidRDefault="00743E4E" w:rsidP="00391C2F">
      <w:pPr>
        <w:spacing w:after="0" w:line="240" w:lineRule="auto"/>
      </w:pPr>
      <w:r>
        <w:separator/>
      </w:r>
    </w:p>
  </w:endnote>
  <w:endnote w:type="continuationSeparator" w:id="0">
    <w:p w:rsidR="00743E4E" w:rsidRDefault="00743E4E" w:rsidP="0039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4E" w:rsidRDefault="00743E4E" w:rsidP="00391C2F">
      <w:pPr>
        <w:spacing w:after="0" w:line="240" w:lineRule="auto"/>
      </w:pPr>
      <w:r>
        <w:separator/>
      </w:r>
    </w:p>
  </w:footnote>
  <w:footnote w:type="continuationSeparator" w:id="0">
    <w:p w:rsidR="00743E4E" w:rsidRDefault="00743E4E" w:rsidP="00391C2F">
      <w:pPr>
        <w:spacing w:after="0" w:line="240" w:lineRule="auto"/>
      </w:pPr>
      <w:r>
        <w:continuationSeparator/>
      </w:r>
    </w:p>
  </w:footnote>
  <w:footnote w:id="1">
    <w:p w:rsidR="00391C2F" w:rsidRPr="003D088B" w:rsidRDefault="00391C2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91C2F">
        <w:rPr>
          <w:lang w:val="en-US"/>
        </w:rPr>
        <w:t xml:space="preserve"> Impacts of international wheat improvement research, 1994-2014. 2016. </w:t>
      </w:r>
      <w:proofErr w:type="spellStart"/>
      <w:r w:rsidRPr="00391C2F">
        <w:rPr>
          <w:lang w:val="en-US"/>
        </w:rPr>
        <w:t>Lantican</w:t>
      </w:r>
      <w:proofErr w:type="spellEnd"/>
      <w:r w:rsidRPr="00391C2F">
        <w:rPr>
          <w:lang w:val="en-US"/>
        </w:rPr>
        <w:t xml:space="preserve">, M.A.; Braun, H.J.; Payne, T.S.; Singh, R.P.; </w:t>
      </w:r>
      <w:proofErr w:type="spellStart"/>
      <w:r w:rsidRPr="00391C2F">
        <w:rPr>
          <w:lang w:val="en-US"/>
        </w:rPr>
        <w:t>Sonder</w:t>
      </w:r>
      <w:proofErr w:type="spellEnd"/>
      <w:r w:rsidRPr="00391C2F">
        <w:rPr>
          <w:lang w:val="en-US"/>
        </w:rPr>
        <w:t xml:space="preserve">, K.; Baum, M.; Van </w:t>
      </w:r>
      <w:proofErr w:type="spellStart"/>
      <w:r w:rsidRPr="00391C2F">
        <w:rPr>
          <w:lang w:val="en-US"/>
        </w:rPr>
        <w:t>Ginkel</w:t>
      </w:r>
      <w:proofErr w:type="spellEnd"/>
      <w:r w:rsidRPr="00391C2F">
        <w:rPr>
          <w:lang w:val="en-US"/>
        </w:rPr>
        <w:t xml:space="preserve">, M.; </w:t>
      </w:r>
      <w:proofErr w:type="spellStart"/>
      <w:r w:rsidRPr="00391C2F">
        <w:rPr>
          <w:lang w:val="en-US"/>
        </w:rPr>
        <w:t>Erenstein</w:t>
      </w:r>
      <w:proofErr w:type="spellEnd"/>
      <w:r w:rsidRPr="00391C2F">
        <w:rPr>
          <w:lang w:val="en-US"/>
        </w:rPr>
        <w:t xml:space="preserve">, O.. </w:t>
      </w:r>
      <w:r w:rsidRPr="003D088B">
        <w:rPr>
          <w:lang w:val="en-US"/>
        </w:rPr>
        <w:t>: 59 p.. Mexico, DF (Mexico). CIMMYT.</w:t>
      </w:r>
    </w:p>
  </w:footnote>
  <w:footnote w:id="2">
    <w:p w:rsidR="00FB23C0" w:rsidRPr="003D088B" w:rsidRDefault="00FB23C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D088B">
        <w:rPr>
          <w:lang w:val="en-US"/>
        </w:rPr>
        <w:t xml:space="preserve"> </w:t>
      </w:r>
      <w:hyperlink r:id="rId1" w:history="1">
        <w:r w:rsidRPr="003D088B">
          <w:rPr>
            <w:rStyle w:val="Lienhypertexte"/>
            <w:lang w:val="en-US"/>
          </w:rPr>
          <w:t>http://ec.europa.eu/isa/documents/isa_annex_ii_eif_en.pdf</w:t>
        </w:r>
      </w:hyperlink>
      <w:r w:rsidRPr="003D088B">
        <w:rPr>
          <w:lang w:val="en-US"/>
        </w:rPr>
        <w:t xml:space="preserve"> </w:t>
      </w:r>
    </w:p>
  </w:footnote>
  <w:footnote w:id="3">
    <w:p w:rsidR="001B1787" w:rsidRPr="003D088B" w:rsidRDefault="001B1787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D088B">
        <w:rPr>
          <w:lang w:val="en-US"/>
        </w:rPr>
        <w:t xml:space="preserve"> </w:t>
      </w:r>
      <w:hyperlink r:id="rId2" w:history="1">
        <w:r w:rsidRPr="003D088B">
          <w:rPr>
            <w:rStyle w:val="Lienhypertexte"/>
            <w:lang w:val="en-US"/>
          </w:rPr>
          <w:t>http://ist.blogs.inra.fr/wdi/wp-content/uploads/sites/8/2015/06/wheat-info-system-report.pdf</w:t>
        </w:r>
      </w:hyperlink>
      <w:r w:rsidRPr="003D088B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928"/>
    <w:multiLevelType w:val="hybridMultilevel"/>
    <w:tmpl w:val="E5686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17"/>
    <w:rsid w:val="00007D58"/>
    <w:rsid w:val="000514BD"/>
    <w:rsid w:val="00080E54"/>
    <w:rsid w:val="000902A1"/>
    <w:rsid w:val="000E01D5"/>
    <w:rsid w:val="00137B4B"/>
    <w:rsid w:val="00170B31"/>
    <w:rsid w:val="001B1787"/>
    <w:rsid w:val="001B3D92"/>
    <w:rsid w:val="001D2FD9"/>
    <w:rsid w:val="001D7223"/>
    <w:rsid w:val="002B098B"/>
    <w:rsid w:val="002E704B"/>
    <w:rsid w:val="00306C28"/>
    <w:rsid w:val="00381449"/>
    <w:rsid w:val="00391C2F"/>
    <w:rsid w:val="003D088B"/>
    <w:rsid w:val="005000A3"/>
    <w:rsid w:val="00530C17"/>
    <w:rsid w:val="0055064E"/>
    <w:rsid w:val="00576C6D"/>
    <w:rsid w:val="005D11D8"/>
    <w:rsid w:val="006C666E"/>
    <w:rsid w:val="00707950"/>
    <w:rsid w:val="007343B9"/>
    <w:rsid w:val="00743E4E"/>
    <w:rsid w:val="00756ABE"/>
    <w:rsid w:val="0081710A"/>
    <w:rsid w:val="00822E9A"/>
    <w:rsid w:val="00853B2B"/>
    <w:rsid w:val="008A417C"/>
    <w:rsid w:val="009969AB"/>
    <w:rsid w:val="00A737DA"/>
    <w:rsid w:val="00AF0A14"/>
    <w:rsid w:val="00C26ABE"/>
    <w:rsid w:val="00CA5013"/>
    <w:rsid w:val="00D31BD3"/>
    <w:rsid w:val="00DC650B"/>
    <w:rsid w:val="00E36686"/>
    <w:rsid w:val="00EA6B75"/>
    <w:rsid w:val="00EE4BB8"/>
    <w:rsid w:val="00F16042"/>
    <w:rsid w:val="00F36233"/>
    <w:rsid w:val="00F51A3B"/>
    <w:rsid w:val="00FB23C0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0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0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56ABE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1C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1C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1C2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343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70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00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0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0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0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56ABE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1C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1C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1C2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343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70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00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0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heatinitiative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d-alliance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st.blogs.inra.fr/wdi/wp-content/uploads/sites/8/2015/06/wheat-info-system-report.pdf" TargetMode="External"/><Relationship Id="rId1" Type="http://schemas.openxmlformats.org/officeDocument/2006/relationships/hyperlink" Target="http://ec.europa.eu/isa/documents/isa_annex_ii_eif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B3CE-7AFE-4E4B-9B70-2C7DB553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11</cp:revision>
  <dcterms:created xsi:type="dcterms:W3CDTF">2016-07-27T08:44:00Z</dcterms:created>
  <dcterms:modified xsi:type="dcterms:W3CDTF">2016-07-27T09:36:00Z</dcterms:modified>
</cp:coreProperties>
</file>