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DDE8" w14:textId="77777777" w:rsidR="00174A50" w:rsidRPr="00174A50" w:rsidRDefault="00174A50" w:rsidP="00174A50">
      <w:pPr>
        <w:jc w:val="both"/>
        <w:rPr>
          <w:b/>
          <w:u w:val="single"/>
        </w:rPr>
      </w:pPr>
      <w:bookmarkStart w:id="0" w:name="_GoBack"/>
      <w:bookmarkEnd w:id="0"/>
      <w:r w:rsidRPr="00174A50">
        <w:rPr>
          <w:b/>
          <w:u w:val="single"/>
        </w:rPr>
        <w:t>Virtual Research Environments IG</w:t>
      </w:r>
    </w:p>
    <w:p w14:paraId="64E7F754" w14:textId="05C5A014" w:rsidR="000D1D1F" w:rsidRPr="003D262D" w:rsidRDefault="003D262D" w:rsidP="00174A50">
      <w:pPr>
        <w:jc w:val="both"/>
        <w:rPr>
          <w:b/>
          <w:u w:val="single"/>
        </w:rPr>
      </w:pPr>
      <w:r w:rsidRPr="003D262D">
        <w:rPr>
          <w:b/>
          <w:u w:val="single"/>
        </w:rPr>
        <w:t>C</w:t>
      </w:r>
      <w:r>
        <w:rPr>
          <w:b/>
          <w:u w:val="single"/>
        </w:rPr>
        <w:t>ase Statement</w:t>
      </w:r>
    </w:p>
    <w:p w14:paraId="70ECCCC8" w14:textId="7DFB5E31" w:rsidR="00314D71" w:rsidRPr="00096AE3" w:rsidRDefault="00FD074E" w:rsidP="00174A50">
      <w:pPr>
        <w:jc w:val="both"/>
      </w:pPr>
      <w:r>
        <w:t>Increasingly researchers</w:t>
      </w:r>
      <w:r w:rsidR="00314D71" w:rsidRPr="00096AE3">
        <w:t xml:space="preserve"> </w:t>
      </w:r>
      <w:r>
        <w:t xml:space="preserve">who are not co-located </w:t>
      </w:r>
      <w:r w:rsidR="00314D71" w:rsidRPr="00096AE3">
        <w:t xml:space="preserve">are </w:t>
      </w:r>
      <w:r w:rsidR="00E6627D" w:rsidRPr="00096AE3">
        <w:t xml:space="preserve">seeking to </w:t>
      </w:r>
      <w:r w:rsidR="00314D71" w:rsidRPr="00096AE3">
        <w:t xml:space="preserve">work dynamically </w:t>
      </w:r>
      <w:r>
        <w:t xml:space="preserve">together </w:t>
      </w:r>
      <w:r w:rsidR="00314D71" w:rsidRPr="00096AE3">
        <w:t xml:space="preserve">at </w:t>
      </w:r>
      <w:r w:rsidR="001B17BE">
        <w:t>various</w:t>
      </w:r>
      <w:r w:rsidR="00314D71" w:rsidRPr="00096AE3">
        <w:t xml:space="preserve"> scales from</w:t>
      </w:r>
      <w:r>
        <w:t xml:space="preserve"> the local to the international. </w:t>
      </w:r>
      <w:r w:rsidR="00314D71" w:rsidRPr="00096AE3">
        <w:t xml:space="preserve">These researchers </w:t>
      </w:r>
      <w:r w:rsidRPr="00096AE3">
        <w:t>want</w:t>
      </w:r>
      <w:r w:rsidR="00314D71" w:rsidRPr="00096AE3">
        <w:t xml:space="preserve"> to share data, models, workflows</w:t>
      </w:r>
      <w:r w:rsidR="001B17BE">
        <w:t>, best practice</w:t>
      </w:r>
      <w:r w:rsidR="000D1D1F">
        <w:t>, publications, management and administration of their research</w:t>
      </w:r>
      <w:r w:rsidR="00314D71" w:rsidRPr="00096AE3">
        <w:t xml:space="preserve"> etc. </w:t>
      </w:r>
      <w:r w:rsidR="000D1D1F">
        <w:t xml:space="preserve">This is </w:t>
      </w:r>
      <w:r w:rsidR="00314D71" w:rsidRPr="00096AE3">
        <w:t xml:space="preserve">to address </w:t>
      </w:r>
      <w:r w:rsidR="001B17BE">
        <w:t>either</w:t>
      </w:r>
      <w:r w:rsidR="00314D71" w:rsidRPr="00096AE3">
        <w:t xml:space="preserve"> local challenges which are </w:t>
      </w:r>
      <w:r>
        <w:t xml:space="preserve">also </w:t>
      </w:r>
      <w:r w:rsidR="00314D71" w:rsidRPr="00096AE3">
        <w:t xml:space="preserve">potentially of direct relevance to </w:t>
      </w:r>
      <w:r w:rsidR="00E6627D" w:rsidRPr="00096AE3">
        <w:t>researchers</w:t>
      </w:r>
      <w:r w:rsidR="00314D71" w:rsidRPr="00096AE3">
        <w:t xml:space="preserve"> in other geographical areas</w:t>
      </w:r>
      <w:r w:rsidR="001B17BE">
        <w:t>,</w:t>
      </w:r>
      <w:r w:rsidR="00314D71" w:rsidRPr="00096AE3">
        <w:t xml:space="preserve"> or </w:t>
      </w:r>
      <w:r w:rsidR="001B17BE">
        <w:t>they have</w:t>
      </w:r>
      <w:r w:rsidR="00314D71" w:rsidRPr="00096AE3">
        <w:t xml:space="preserve"> a shared interest </w:t>
      </w:r>
      <w:r>
        <w:t>in</w:t>
      </w:r>
      <w:r w:rsidR="00314D71" w:rsidRPr="00096AE3">
        <w:t xml:space="preserve"> address</w:t>
      </w:r>
      <w:r>
        <w:t>ing</w:t>
      </w:r>
      <w:r w:rsidR="00314D71" w:rsidRPr="00096AE3">
        <w:t xml:space="preserve"> a common issue such as the grand challenges currently being faced by society on a global scale</w:t>
      </w:r>
      <w:r w:rsidR="001B17BE">
        <w:t xml:space="preserve"> e.g. climate change</w:t>
      </w:r>
      <w:r w:rsidR="00314D71" w:rsidRPr="00096AE3">
        <w:t>.</w:t>
      </w:r>
    </w:p>
    <w:p w14:paraId="51613D59" w14:textId="17F31626" w:rsidR="00CF6C0B" w:rsidRDefault="00E6627D" w:rsidP="00CF6C0B">
      <w:pPr>
        <w:jc w:val="both"/>
      </w:pPr>
      <w:r w:rsidRPr="00096AE3">
        <w:t>Virtual research environments (VREs)</w:t>
      </w:r>
      <w:r w:rsidR="005D7DB7">
        <w:t xml:space="preserve">, synonymous with science gateways in the USA and virtual laboratories in Australia, </w:t>
      </w:r>
      <w:r w:rsidRPr="00096AE3">
        <w:t xml:space="preserve">are </w:t>
      </w:r>
      <w:r w:rsidR="00267E73">
        <w:t xml:space="preserve">increasingly </w:t>
      </w:r>
      <w:r w:rsidR="00FD074E">
        <w:t>being</w:t>
      </w:r>
      <w:r w:rsidRPr="00096AE3">
        <w:t xml:space="preserve"> used to support this more dynamic approach to collaborative working. This has led to a number of </w:t>
      </w:r>
      <w:r w:rsidR="005D7DB7">
        <w:t xml:space="preserve">regional </w:t>
      </w:r>
      <w:r w:rsidR="001B17BE">
        <w:t>VRE</w:t>
      </w:r>
      <w:r w:rsidR="005D7DB7">
        <w:t>/SG/VL initiatives</w:t>
      </w:r>
      <w:r w:rsidR="00CF6C0B">
        <w:t xml:space="preserve"> such as VRE4EIC, whose goals include </w:t>
      </w:r>
      <w:proofErr w:type="gramStart"/>
      <w:r w:rsidR="00CF6C0B">
        <w:t>to increase</w:t>
      </w:r>
      <w:proofErr w:type="gramEnd"/>
      <w:r w:rsidR="00CF6C0B">
        <w:t xml:space="preserve"> the VRE usability for multidisciplinary research and quality of VRE user experiences.</w:t>
      </w:r>
      <w:r w:rsidR="001B17BE">
        <w:t xml:space="preserve"> </w:t>
      </w:r>
      <w:r w:rsidR="00CF6C0B">
        <w:t>A</w:t>
      </w:r>
      <w:r w:rsidRPr="00096AE3">
        <w:t xml:space="preserve">lthough these systems are seeking to share some of the same resources and common </w:t>
      </w:r>
      <w:r w:rsidR="00D227F1" w:rsidRPr="00096AE3">
        <w:t>infrastructure</w:t>
      </w:r>
      <w:r w:rsidRPr="00096AE3">
        <w:t xml:space="preserve"> services e.g. EUDAT, GEANT, etc.</w:t>
      </w:r>
      <w:r w:rsidR="00096AE3" w:rsidRPr="00096AE3">
        <w:t>,</w:t>
      </w:r>
      <w:r w:rsidRPr="00096AE3">
        <w:t xml:space="preserve"> there is no coordination of the development of the underlying architecture that would allow these individual VREs to interoperate.</w:t>
      </w:r>
      <w:r w:rsidR="00CF6C0B">
        <w:t xml:space="preserve"> </w:t>
      </w:r>
    </w:p>
    <w:p w14:paraId="3B984CFF" w14:textId="42651940" w:rsidR="005D7DB7" w:rsidRPr="00096AE3" w:rsidRDefault="00E2441F" w:rsidP="00E2441F">
      <w:pPr>
        <w:jc w:val="both"/>
      </w:pPr>
      <w:r>
        <w:t xml:space="preserve">The </w:t>
      </w:r>
      <w:r w:rsidR="005D7DB7">
        <w:t>p</w:t>
      </w:r>
      <w:r>
        <w:t xml:space="preserve">roposed </w:t>
      </w:r>
      <w:r w:rsidR="005D7DB7">
        <w:t xml:space="preserve">VRE </w:t>
      </w:r>
      <w:r>
        <w:t>IG will explore all aspects of existing and planned future VRE</w:t>
      </w:r>
      <w:r w:rsidR="005D7DB7">
        <w:t>/SG/VL</w:t>
      </w:r>
      <w:r>
        <w:t xml:space="preserve">s </w:t>
      </w:r>
      <w:r w:rsidR="005D7DB7">
        <w:t>with the aim of</w:t>
      </w:r>
      <w:r>
        <w:t xml:space="preserve"> </w:t>
      </w:r>
      <w:r w:rsidR="005D7DB7">
        <w:t xml:space="preserve">moving towards </w:t>
      </w:r>
      <w:r w:rsidR="00CF6C0B">
        <w:t>common policies</w:t>
      </w:r>
      <w:r w:rsidR="000911CA">
        <w:t xml:space="preserve"> and best practices, such as those being promoted by the US Science Gateways Community Institute (SGCI),</w:t>
      </w:r>
      <w:r w:rsidR="00CF6C0B">
        <w:t xml:space="preserve"> </w:t>
      </w:r>
      <w:r w:rsidR="005A3281">
        <w:t xml:space="preserve">the Australian Research Data Services (ARDS) </w:t>
      </w:r>
      <w:r w:rsidR="00CF6C0B">
        <w:t xml:space="preserve">and </w:t>
      </w:r>
      <w:r w:rsidR="005D7DB7">
        <w:t xml:space="preserve">common </w:t>
      </w:r>
      <w:r>
        <w:t>reference architecture</w:t>
      </w:r>
      <w:r w:rsidR="00CF6C0B">
        <w:t>s</w:t>
      </w:r>
      <w:r>
        <w:t xml:space="preserve"> </w:t>
      </w:r>
      <w:r w:rsidR="00CF6C0B">
        <w:t xml:space="preserve">as well as </w:t>
      </w:r>
      <w:r>
        <w:t>specifications for components and interfaces</w:t>
      </w:r>
      <w:r w:rsidR="000911CA">
        <w:t xml:space="preserve">  </w:t>
      </w:r>
    </w:p>
    <w:p w14:paraId="1A382E3C" w14:textId="334304EB" w:rsidR="00174A50" w:rsidRDefault="00160460" w:rsidP="00174A50">
      <w:pPr>
        <w:jc w:val="both"/>
        <w:rPr>
          <w:b/>
          <w:u w:val="single"/>
        </w:rPr>
      </w:pPr>
      <w:r>
        <w:rPr>
          <w:b/>
          <w:u w:val="single"/>
        </w:rPr>
        <w:t>Objectives</w:t>
      </w:r>
    </w:p>
    <w:p w14:paraId="6D6F56F5" w14:textId="3B86711C" w:rsidR="00067672" w:rsidRDefault="00067672" w:rsidP="00E2441F">
      <w:pPr>
        <w:jc w:val="both"/>
      </w:pPr>
      <w:r w:rsidRPr="00067672">
        <w:t>The proposed VRE interest group would bring together those initiatives actively developing VRE/SGs/VLs and also the representatives of the common infrastructure services e.g. EUDAT</w:t>
      </w:r>
      <w:r w:rsidR="005A3281">
        <w:t>, ARDS</w:t>
      </w:r>
      <w:r>
        <w:t xml:space="preserve">. It will also seek to engage with </w:t>
      </w:r>
      <w:r w:rsidRPr="00067672">
        <w:t>those seeking to make use of these technologies in an effort to identify the necessary technical aspects, governance issues and best practice required to support a more coordinated approach to the development of the collaborative environments.</w:t>
      </w:r>
      <w:r>
        <w:t xml:space="preserve"> </w:t>
      </w:r>
    </w:p>
    <w:p w14:paraId="740473C7" w14:textId="77777777" w:rsidR="00E2441F" w:rsidRDefault="00E2441F" w:rsidP="00E2441F">
      <w:pPr>
        <w:jc w:val="both"/>
      </w:pPr>
      <w:r>
        <w:t>The proposed IG will bring together this experience and evolve towards</w:t>
      </w:r>
    </w:p>
    <w:p w14:paraId="69DA87E3" w14:textId="578F6000" w:rsidR="00E2441F" w:rsidRDefault="00CF6C0B" w:rsidP="0056055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R</w:t>
      </w:r>
      <w:r w:rsidR="00E2441F">
        <w:t>eference architecture</w:t>
      </w:r>
      <w:r>
        <w:t>s</w:t>
      </w:r>
      <w:r w:rsidR="00E2441F">
        <w:t xml:space="preserve"> for a VRE based on superposition over e-RIs e-Research Infrastructures) and e-Is (e-Infrastructures);</w:t>
      </w:r>
    </w:p>
    <w:p w14:paraId="7F9BED32" w14:textId="004C2877" w:rsidR="00E2441F" w:rsidRDefault="00E2441F" w:rsidP="0056055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The definition  of a set of components (software and interfaces) for use in a VRE;</w:t>
      </w:r>
    </w:p>
    <w:p w14:paraId="1BE7A049" w14:textId="160D1947" w:rsidR="00E2441F" w:rsidRDefault="00E2441F" w:rsidP="0056055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The definition of interfaces between a VRE and e-RIs</w:t>
      </w:r>
      <w:r w:rsidR="005A3281">
        <w:t>;</w:t>
      </w:r>
    </w:p>
    <w:p w14:paraId="1FFCD36F" w14:textId="0F8F7929" w:rsidR="00E2441F" w:rsidRDefault="00E2441F" w:rsidP="0056055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The definition of best practice in constructing VREs</w:t>
      </w:r>
      <w:r w:rsidR="005A3281">
        <w:t>; and</w:t>
      </w:r>
    </w:p>
    <w:p w14:paraId="51FFC8AD" w14:textId="0E27CE7F" w:rsidR="008B1D90" w:rsidRDefault="008B1D90" w:rsidP="0056055D">
      <w:pPr>
        <w:pStyle w:val="ListParagraph"/>
        <w:numPr>
          <w:ilvl w:val="0"/>
          <w:numId w:val="6"/>
        </w:numPr>
        <w:ind w:left="714" w:hanging="357"/>
        <w:contextualSpacing w:val="0"/>
        <w:jc w:val="both"/>
      </w:pPr>
      <w:r>
        <w:t>Recommendations for policies in e-RIs and e-Is</w:t>
      </w:r>
      <w:r w:rsidR="005A3281">
        <w:t>.</w:t>
      </w:r>
    </w:p>
    <w:p w14:paraId="71DEF548" w14:textId="77777777" w:rsidR="0056055D" w:rsidRPr="00096AE3" w:rsidRDefault="0056055D" w:rsidP="0056055D">
      <w:pPr>
        <w:ind w:left="357"/>
        <w:jc w:val="both"/>
      </w:pPr>
    </w:p>
    <w:p w14:paraId="46A3F5A2" w14:textId="1E19B55A" w:rsidR="00067672" w:rsidRPr="00DF0A24" w:rsidRDefault="00E2441F" w:rsidP="00DF0A24">
      <w:pPr>
        <w:ind w:left="360"/>
        <w:jc w:val="both"/>
        <w:rPr>
          <w:b/>
          <w:i/>
          <w:u w:val="single"/>
        </w:rPr>
      </w:pPr>
      <w:r w:rsidRPr="00DF0A24">
        <w:rPr>
          <w:b/>
          <w:i/>
          <w:u w:val="single"/>
        </w:rPr>
        <w:t>Value Proposition</w:t>
      </w:r>
    </w:p>
    <w:p w14:paraId="2767A330" w14:textId="1F705007" w:rsidR="00E2441F" w:rsidRPr="003D262D" w:rsidRDefault="00E2441F" w:rsidP="00174A50">
      <w:pPr>
        <w:jc w:val="both"/>
      </w:pPr>
      <w:r w:rsidRPr="003D262D">
        <w:lastRenderedPageBreak/>
        <w:t>VRE</w:t>
      </w:r>
      <w:r w:rsidR="00C237C4">
        <w:t xml:space="preserve">/SG/VLs are </w:t>
      </w:r>
      <w:r w:rsidRPr="003D262D">
        <w:t xml:space="preserve">relatively new </w:t>
      </w:r>
      <w:r w:rsidR="00C237C4">
        <w:t xml:space="preserve">concepts and the associated technologies </w:t>
      </w:r>
      <w:r w:rsidR="008B1D90">
        <w:t>have matured</w:t>
      </w:r>
      <w:r w:rsidR="00CF6C0B">
        <w:t xml:space="preserve"> in the last 10 years </w:t>
      </w:r>
      <w:r w:rsidR="000911CA">
        <w:t xml:space="preserve">as </w:t>
      </w:r>
      <w:r w:rsidR="00CF6C0B">
        <w:t>eviden</w:t>
      </w:r>
      <w:r w:rsidR="000911CA">
        <w:t xml:space="preserve">ced by </w:t>
      </w:r>
      <w:r w:rsidR="00CF6C0B">
        <w:t>novel development</w:t>
      </w:r>
      <w:r w:rsidR="00E14417">
        <w:t>s</w:t>
      </w:r>
      <w:r w:rsidR="00CF6C0B">
        <w:t xml:space="preserve"> of </w:t>
      </w:r>
      <w:r w:rsidR="000911CA">
        <w:t xml:space="preserve">these </w:t>
      </w:r>
      <w:r w:rsidR="00CF6C0B">
        <w:t>frameworks</w:t>
      </w:r>
      <w:r w:rsidRPr="003D262D">
        <w:t xml:space="preserve">.  If the objectives </w:t>
      </w:r>
      <w:r w:rsidR="00C237C4">
        <w:t>outlined above for the VRE IG can be achieved it</w:t>
      </w:r>
      <w:r w:rsidR="00067672">
        <w:t xml:space="preserve"> will lead to</w:t>
      </w:r>
      <w:r>
        <w:t xml:space="preserve"> interoperating VRE</w:t>
      </w:r>
      <w:r w:rsidR="00C237C4">
        <w:t>/SG/VL</w:t>
      </w:r>
      <w:r>
        <w:t xml:space="preserve">s (themselves supported by integration of heterogeneous e-RIs </w:t>
      </w:r>
      <w:r w:rsidR="00067672">
        <w:t>that are in turn</w:t>
      </w:r>
      <w:r>
        <w:t xml:space="preserve"> supported by e-Is).  The alternative is divergent and heterogeneous systems incapable (or only capable with great effort) of interoperating.</w:t>
      </w:r>
    </w:p>
    <w:p w14:paraId="4F15CC17" w14:textId="1D4A3728" w:rsidR="00E2441F" w:rsidRDefault="00E2441F" w:rsidP="00174A50">
      <w:pPr>
        <w:jc w:val="both"/>
        <w:rPr>
          <w:b/>
        </w:rPr>
      </w:pPr>
    </w:p>
    <w:p w14:paraId="69D14B7F" w14:textId="77777777" w:rsidR="00DF0A24" w:rsidRDefault="00DF0A24" w:rsidP="00DF0A24">
      <w:pPr>
        <w:jc w:val="both"/>
        <w:rPr>
          <w:b/>
          <w:u w:val="single"/>
        </w:rPr>
      </w:pPr>
      <w:r>
        <w:rPr>
          <w:b/>
        </w:rPr>
        <w:t>Activities</w:t>
      </w:r>
      <w:r w:rsidRPr="00DF0A24">
        <w:rPr>
          <w:b/>
          <w:u w:val="single"/>
        </w:rPr>
        <w:t xml:space="preserve"> </w:t>
      </w:r>
    </w:p>
    <w:p w14:paraId="1DDC0E75" w14:textId="7620F7DA" w:rsidR="00DF0A24" w:rsidRPr="00DF0A24" w:rsidRDefault="00DF0A24" w:rsidP="00DF0A24">
      <w:pPr>
        <w:jc w:val="both"/>
        <w:rPr>
          <w:b/>
          <w:u w:val="single"/>
        </w:rPr>
      </w:pPr>
      <w:r>
        <w:t>The VRE IG will aim to act as a longer-term organization responsible for tracking and contributing to the evolution of VRE/SG/VL technologies. To achieve these objectives the VRE IG will:</w:t>
      </w:r>
    </w:p>
    <w:p w14:paraId="1E236337" w14:textId="2829A53F" w:rsidR="00DF0A24" w:rsidRDefault="00DF0A24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Review the state if the art</w:t>
      </w:r>
      <w:r w:rsidR="005A3281">
        <w:t>;</w:t>
      </w:r>
    </w:p>
    <w:p w14:paraId="4EA1FE1C" w14:textId="60B523D2" w:rsidR="00DF0A24" w:rsidRDefault="00DF0A24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Ensure associated relevant technologies are known and understood</w:t>
      </w:r>
      <w:r w:rsidR="005A3281">
        <w:t>;</w:t>
      </w:r>
    </w:p>
    <w:p w14:paraId="379E5CCD" w14:textId="32BADF88" w:rsidR="00DF0A24" w:rsidRDefault="00DF0A24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From (1) and (2) propose canonical architectural model</w:t>
      </w:r>
      <w:r w:rsidR="00F913DA">
        <w:t>s</w:t>
      </w:r>
      <w:r>
        <w:t xml:space="preserve"> for VREs</w:t>
      </w:r>
      <w:r w:rsidR="005A3281">
        <w:t>;</w:t>
      </w:r>
    </w:p>
    <w:p w14:paraId="515AFC23" w14:textId="77777777" w:rsidR="00DF0A24" w:rsidRDefault="00DF0A24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Propose specifications for standard components (software and interfaces) for a VRE/SG/VLs;</w:t>
      </w:r>
    </w:p>
    <w:p w14:paraId="2A87B87D" w14:textId="5940D0CA" w:rsidR="00DF0A24" w:rsidRDefault="00DF0A24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Propose best practices for VRE/SG/VLs development and implementation</w:t>
      </w:r>
      <w:r w:rsidR="005A3281">
        <w:t>;</w:t>
      </w:r>
    </w:p>
    <w:p w14:paraId="40E85EA6" w14:textId="461E26B8" w:rsidR="00F913DA" w:rsidRDefault="00F913DA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>Contributing to the SGCI’s scientific software collaborative to build a central information hub for researchers and developers</w:t>
      </w:r>
      <w:r w:rsidR="005A3281">
        <w:t>; and</w:t>
      </w:r>
    </w:p>
    <w:p w14:paraId="3B20111D" w14:textId="212B0DAC" w:rsidR="008B1D90" w:rsidRDefault="008B1D90" w:rsidP="000F3888">
      <w:pPr>
        <w:pStyle w:val="ListParagraph"/>
        <w:numPr>
          <w:ilvl w:val="0"/>
          <w:numId w:val="7"/>
        </w:numPr>
        <w:ind w:left="714" w:hanging="357"/>
        <w:contextualSpacing w:val="0"/>
        <w:jc w:val="both"/>
      </w:pPr>
      <w:r>
        <w:t xml:space="preserve">Suggest policies to stakeholders of e-RIs and e-Is in close collaborations with existing projects </w:t>
      </w:r>
      <w:r w:rsidR="009A5755">
        <w:t>and initiatives e.g. VRE4EIC, EVER-EST, SGCI, XSEDE, OSG</w:t>
      </w:r>
      <w:r w:rsidR="005A3281">
        <w:t xml:space="preserve">, ARDS, </w:t>
      </w:r>
      <w:r w:rsidR="009A5755">
        <w:t>etc</w:t>
      </w:r>
      <w:proofErr w:type="gramStart"/>
      <w:r w:rsidR="009A5755">
        <w:t>.</w:t>
      </w:r>
      <w:r>
        <w:t>.</w:t>
      </w:r>
      <w:proofErr w:type="gramEnd"/>
    </w:p>
    <w:p w14:paraId="01FA3B85" w14:textId="77777777" w:rsidR="00DF0A24" w:rsidRDefault="00DF0A24" w:rsidP="00174A50">
      <w:pPr>
        <w:jc w:val="both"/>
        <w:rPr>
          <w:b/>
        </w:rPr>
      </w:pPr>
    </w:p>
    <w:p w14:paraId="19B8D9A9" w14:textId="77777777" w:rsidR="00DF0A24" w:rsidRPr="00096AE3" w:rsidRDefault="00DF0A24" w:rsidP="00174A50">
      <w:pPr>
        <w:jc w:val="both"/>
        <w:rPr>
          <w:b/>
        </w:rPr>
      </w:pPr>
    </w:p>
    <w:p w14:paraId="14B59903" w14:textId="5327F522" w:rsidR="00160460" w:rsidRDefault="00160460" w:rsidP="00174A50">
      <w:pPr>
        <w:jc w:val="both"/>
        <w:rPr>
          <w:b/>
          <w:u w:val="single"/>
        </w:rPr>
      </w:pPr>
      <w:r>
        <w:rPr>
          <w:b/>
          <w:u w:val="single"/>
        </w:rPr>
        <w:t>Relationships with other WG/IGs</w:t>
      </w:r>
    </w:p>
    <w:p w14:paraId="4AF5957C" w14:textId="38284F44" w:rsidR="00F913DA" w:rsidRDefault="00096AE3" w:rsidP="003C4D50">
      <w:pPr>
        <w:jc w:val="both"/>
      </w:pPr>
      <w:r w:rsidRPr="00FD074E">
        <w:t xml:space="preserve">The proposed VRE-IG will </w:t>
      </w:r>
      <w:r w:rsidR="00FD074E">
        <w:t xml:space="preserve">engage with the relevant IG/WGs </w:t>
      </w:r>
      <w:r w:rsidR="001A5D08">
        <w:t xml:space="preserve">that </w:t>
      </w:r>
      <w:r w:rsidR="00FD074E">
        <w:t>will include:</w:t>
      </w:r>
    </w:p>
    <w:p w14:paraId="714C76DF" w14:textId="1D79452C" w:rsidR="00AB735C" w:rsidRDefault="00AB735C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>Big Data IG</w:t>
      </w:r>
    </w:p>
    <w:p w14:paraId="66E64939" w14:textId="6B980B61" w:rsidR="000D1D1F" w:rsidRDefault="000D1D1F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>Metadata IG: definition of</w:t>
      </w:r>
      <w:r w:rsidR="0078716E">
        <w:t xml:space="preserve"> </w:t>
      </w:r>
      <w:r>
        <w:t>packages of metadata elements appropriate for the VRE</w:t>
      </w:r>
      <w:r w:rsidR="0078716E">
        <w:t>/SG/VL</w:t>
      </w:r>
    </w:p>
    <w:p w14:paraId="3B5D2EEB" w14:textId="3CBAE148" w:rsidR="00FD074E" w:rsidRDefault="00FD074E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>Metadata catalogue WG which will potentially provide a resources for documenting the me</w:t>
      </w:r>
      <w:r w:rsidR="00AB735C">
        <w:t>tadata</w:t>
      </w:r>
      <w:r w:rsidR="000D1D1F">
        <w:t xml:space="preserve"> used in different VREs</w:t>
      </w:r>
    </w:p>
    <w:p w14:paraId="505F5BB6" w14:textId="2AA19BE6" w:rsidR="00AB735C" w:rsidRDefault="00AB735C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 xml:space="preserve">Preservation </w:t>
      </w:r>
      <w:r w:rsidR="00FA4A01">
        <w:t>Tools, Techniques and Policies IG</w:t>
      </w:r>
    </w:p>
    <w:p w14:paraId="68615FB8" w14:textId="0F2E2ECA" w:rsidR="000D1D1F" w:rsidRDefault="00FA4A01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 xml:space="preserve">Research Data </w:t>
      </w:r>
      <w:r w:rsidR="000D1D1F">
        <w:t>Provenance</w:t>
      </w:r>
      <w:r>
        <w:t xml:space="preserve"> IG</w:t>
      </w:r>
    </w:p>
    <w:p w14:paraId="42411CB9" w14:textId="597A0816" w:rsidR="00DE4EE7" w:rsidRDefault="00DE4EE7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 xml:space="preserve">Reproducibility </w:t>
      </w:r>
      <w:r w:rsidR="00FA4A01">
        <w:t xml:space="preserve">IG </w:t>
      </w:r>
    </w:p>
    <w:p w14:paraId="5167F9BA" w14:textId="77777777" w:rsidR="00FA4A01" w:rsidRDefault="00FA4A01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 w:rsidRPr="00FA4A01">
        <w:t>Federated Identity Management IG</w:t>
      </w:r>
      <w:r w:rsidRPr="00FA4A01" w:rsidDel="00FA4A01">
        <w:t xml:space="preserve"> </w:t>
      </w:r>
    </w:p>
    <w:p w14:paraId="3579EFF3" w14:textId="1C8CCA9C" w:rsidR="000D1D1F" w:rsidRDefault="000D1D1F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lastRenderedPageBreak/>
        <w:t>Data Fabric IG</w:t>
      </w:r>
    </w:p>
    <w:p w14:paraId="21F70523" w14:textId="12CD86A7" w:rsidR="000D1D1F" w:rsidRDefault="0078716E" w:rsidP="00AB735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</w:pPr>
      <w:r>
        <w:t>D</w:t>
      </w:r>
      <w:r w:rsidR="000D1D1F">
        <w:t xml:space="preserve">omain groups for use cases, requirements and </w:t>
      </w:r>
      <w:r w:rsidR="009C635E">
        <w:t xml:space="preserve">possible </w:t>
      </w:r>
      <w:r w:rsidR="000D1D1F">
        <w:t>later validation</w:t>
      </w:r>
    </w:p>
    <w:p w14:paraId="7D3AD8D9" w14:textId="77777777" w:rsidR="0078716E" w:rsidRDefault="0078716E" w:rsidP="00174A50">
      <w:pPr>
        <w:jc w:val="both"/>
      </w:pPr>
    </w:p>
    <w:p w14:paraId="52F946F5" w14:textId="77777777" w:rsidR="00477BF6" w:rsidRDefault="00477BF6" w:rsidP="00477BF6">
      <w:pPr>
        <w:jc w:val="both"/>
        <w:rPr>
          <w:b/>
          <w:u w:val="single"/>
        </w:rPr>
      </w:pPr>
      <w:r>
        <w:rPr>
          <w:b/>
          <w:u w:val="single"/>
        </w:rPr>
        <w:t>Participants</w:t>
      </w:r>
    </w:p>
    <w:p w14:paraId="4023FFF8" w14:textId="19217CD5" w:rsidR="00477BF6" w:rsidRDefault="00477BF6" w:rsidP="00477BF6">
      <w:pPr>
        <w:jc w:val="both"/>
      </w:pPr>
      <w:r w:rsidRPr="00A21CEC">
        <w:t>There are currently 56 members of the VRE IG identified on RDA portal (</w:t>
      </w:r>
      <w:hyperlink r:id="rId5" w:history="1">
        <w:r w:rsidRPr="00933841">
          <w:rPr>
            <w:rStyle w:val="Hyperlink"/>
          </w:rPr>
          <w:t>https://www.rd-alliance.org/groups/vre-ig.html</w:t>
        </w:r>
      </w:hyperlink>
      <w:r w:rsidRPr="00A21CEC">
        <w:t>)</w:t>
      </w:r>
      <w:r>
        <w:t xml:space="preserve">. Current membership includes those directly engaged with the development of VRE/SG/VL technologies but also representatives </w:t>
      </w:r>
      <w:r w:rsidR="006B6D26">
        <w:t>of</w:t>
      </w:r>
      <w:r>
        <w:t xml:space="preserve"> those responsible for governance structure of existing individual VRE/SG/VLs and their respective user communities. </w:t>
      </w:r>
    </w:p>
    <w:p w14:paraId="401F9433" w14:textId="77777777" w:rsidR="00477BF6" w:rsidRDefault="00477BF6" w:rsidP="00477BF6">
      <w:pPr>
        <w:jc w:val="both"/>
      </w:pPr>
      <w:r>
        <w:t>The proposed group is co-chaired by:</w:t>
      </w:r>
    </w:p>
    <w:p w14:paraId="168550D5" w14:textId="77777777" w:rsidR="00477BF6" w:rsidRDefault="00477BF6" w:rsidP="006B6D26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Keith Jeffery (UK)</w:t>
      </w:r>
    </w:p>
    <w:p w14:paraId="137AA8DD" w14:textId="77777777" w:rsidR="00477BF6" w:rsidRDefault="00477BF6" w:rsidP="006B6D26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Helen Glaves (UK</w:t>
      </w:r>
    </w:p>
    <w:p w14:paraId="63ACE393" w14:textId="77777777" w:rsidR="00477BF6" w:rsidRDefault="00477BF6" w:rsidP="006B6D26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Lesley Wyborn (Australia)</w:t>
      </w:r>
    </w:p>
    <w:p w14:paraId="7AA36E91" w14:textId="77777777" w:rsidR="00477BF6" w:rsidRPr="00A21CEC" w:rsidRDefault="00477BF6" w:rsidP="006B6D26">
      <w:pPr>
        <w:pStyle w:val="ListParagraph"/>
        <w:numPr>
          <w:ilvl w:val="0"/>
          <w:numId w:val="8"/>
        </w:numPr>
        <w:ind w:left="714" w:hanging="357"/>
        <w:contextualSpacing w:val="0"/>
        <w:jc w:val="both"/>
      </w:pPr>
      <w:r>
        <w:t>Sandra Gesing (USA)</w:t>
      </w:r>
    </w:p>
    <w:sectPr w:rsidR="00477BF6" w:rsidRPr="00A21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2FF"/>
    <w:multiLevelType w:val="hybridMultilevel"/>
    <w:tmpl w:val="7BF04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FC2"/>
    <w:multiLevelType w:val="hybridMultilevel"/>
    <w:tmpl w:val="1B48D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865"/>
    <w:multiLevelType w:val="hybridMultilevel"/>
    <w:tmpl w:val="A1EC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D3F"/>
    <w:multiLevelType w:val="hybridMultilevel"/>
    <w:tmpl w:val="15AE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54E2"/>
    <w:multiLevelType w:val="multilevel"/>
    <w:tmpl w:val="525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E2BAB"/>
    <w:multiLevelType w:val="hybridMultilevel"/>
    <w:tmpl w:val="571E7546"/>
    <w:lvl w:ilvl="0" w:tplc="6DCA7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D2BDD"/>
    <w:multiLevelType w:val="hybridMultilevel"/>
    <w:tmpl w:val="CF5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03E21"/>
    <w:multiLevelType w:val="hybridMultilevel"/>
    <w:tmpl w:val="FED25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13049"/>
    <w:rsid w:val="00017CEE"/>
    <w:rsid w:val="00067672"/>
    <w:rsid w:val="000911CA"/>
    <w:rsid w:val="00096AE3"/>
    <w:rsid w:val="000D1D1F"/>
    <w:rsid w:val="000F3888"/>
    <w:rsid w:val="00123A92"/>
    <w:rsid w:val="001467A9"/>
    <w:rsid w:val="00160460"/>
    <w:rsid w:val="00174A50"/>
    <w:rsid w:val="00192419"/>
    <w:rsid w:val="001A5D08"/>
    <w:rsid w:val="001B17BE"/>
    <w:rsid w:val="00216A6C"/>
    <w:rsid w:val="00267E73"/>
    <w:rsid w:val="002A2EF4"/>
    <w:rsid w:val="00314D71"/>
    <w:rsid w:val="00332F04"/>
    <w:rsid w:val="00351ACB"/>
    <w:rsid w:val="003B6730"/>
    <w:rsid w:val="003C4D50"/>
    <w:rsid w:val="003D262D"/>
    <w:rsid w:val="004450BF"/>
    <w:rsid w:val="00477BF6"/>
    <w:rsid w:val="004A57EA"/>
    <w:rsid w:val="004A68F4"/>
    <w:rsid w:val="00555A56"/>
    <w:rsid w:val="0056055D"/>
    <w:rsid w:val="005706D5"/>
    <w:rsid w:val="005A3281"/>
    <w:rsid w:val="005C43B8"/>
    <w:rsid w:val="005D7DB7"/>
    <w:rsid w:val="005E1470"/>
    <w:rsid w:val="006232FD"/>
    <w:rsid w:val="006244C4"/>
    <w:rsid w:val="00642CAC"/>
    <w:rsid w:val="00652850"/>
    <w:rsid w:val="00665968"/>
    <w:rsid w:val="0067377B"/>
    <w:rsid w:val="0067790C"/>
    <w:rsid w:val="006B6D26"/>
    <w:rsid w:val="00703F01"/>
    <w:rsid w:val="00725D4C"/>
    <w:rsid w:val="007329C9"/>
    <w:rsid w:val="0078716E"/>
    <w:rsid w:val="007F7AC3"/>
    <w:rsid w:val="00873124"/>
    <w:rsid w:val="008B1D90"/>
    <w:rsid w:val="0090317E"/>
    <w:rsid w:val="00903F18"/>
    <w:rsid w:val="0094056B"/>
    <w:rsid w:val="009540F5"/>
    <w:rsid w:val="00970EA3"/>
    <w:rsid w:val="00995D54"/>
    <w:rsid w:val="009A5755"/>
    <w:rsid w:val="009C635E"/>
    <w:rsid w:val="00A02D46"/>
    <w:rsid w:val="00A30106"/>
    <w:rsid w:val="00AB1BCA"/>
    <w:rsid w:val="00AB735C"/>
    <w:rsid w:val="00C237C4"/>
    <w:rsid w:val="00C50123"/>
    <w:rsid w:val="00CF57B5"/>
    <w:rsid w:val="00CF6C0B"/>
    <w:rsid w:val="00D065D1"/>
    <w:rsid w:val="00D227F1"/>
    <w:rsid w:val="00D62E51"/>
    <w:rsid w:val="00D869F6"/>
    <w:rsid w:val="00DA26F1"/>
    <w:rsid w:val="00DA5571"/>
    <w:rsid w:val="00DB597C"/>
    <w:rsid w:val="00DC1027"/>
    <w:rsid w:val="00DC6959"/>
    <w:rsid w:val="00DE4EE7"/>
    <w:rsid w:val="00DF0A24"/>
    <w:rsid w:val="00E14417"/>
    <w:rsid w:val="00E2441F"/>
    <w:rsid w:val="00E6627D"/>
    <w:rsid w:val="00E866FA"/>
    <w:rsid w:val="00E936F0"/>
    <w:rsid w:val="00F43E20"/>
    <w:rsid w:val="00F913DA"/>
    <w:rsid w:val="00FA4A01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0D6A7"/>
  <w15:docId w15:val="{7EF5F1BE-EA48-4822-AD92-A29E5AB1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BCA"/>
    <w:pPr>
      <w:ind w:left="720"/>
      <w:contextualSpacing/>
    </w:pPr>
  </w:style>
  <w:style w:type="table" w:styleId="TableGrid">
    <w:name w:val="Table Grid"/>
    <w:basedOn w:val="TableNormal"/>
    <w:uiPriority w:val="59"/>
    <w:rsid w:val="00D6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69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7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d-alliance.org/groups/vre-i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Giaretta</dc:creator>
  <cp:lastModifiedBy>Glaves, Helen M.</cp:lastModifiedBy>
  <cp:revision>2</cp:revision>
  <dcterms:created xsi:type="dcterms:W3CDTF">2017-03-29T12:43:00Z</dcterms:created>
  <dcterms:modified xsi:type="dcterms:W3CDTF">2017-03-29T12:43:00Z</dcterms:modified>
</cp:coreProperties>
</file>